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ascii="宋体" w:hAnsi="宋体"/>
          <w:lang w:val="en-GB"/>
        </w:rPr>
      </w:pPr>
      <w:bookmarkStart w:id="0" w:name="_Hlk104193562"/>
      <w:r>
        <w:rPr>
          <w:rFonts w:ascii="宋体" w:hAnsi="宋体"/>
        </w:rPr>
        <w:drawing>
          <wp:inline distT="0" distB="0" distL="0" distR="0">
            <wp:extent cx="2050415" cy="696595"/>
            <wp:effectExtent l="0" t="0" r="6985"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20" cstate="print">
                      <a:extLst>
                        <a:ext uri="{28A0092B-C50C-407E-A947-70E740481C1C}">
                          <a14:useLocalDpi xmlns:a14="http://schemas.microsoft.com/office/drawing/2010/main" val="0"/>
                        </a:ext>
                      </a:extLst>
                    </a:blip>
                    <a:srcRect t="30397" b="35597"/>
                    <a:stretch>
                      <a:fillRect/>
                    </a:stretch>
                  </pic:blipFill>
                  <pic:spPr>
                    <a:xfrm>
                      <a:off x="0" y="0"/>
                      <a:ext cx="2076853" cy="705916"/>
                    </a:xfrm>
                    <a:prstGeom prst="rect">
                      <a:avLst/>
                    </a:prstGeom>
                    <a:noFill/>
                    <a:ln>
                      <a:noFill/>
                    </a:ln>
                  </pic:spPr>
                </pic:pic>
              </a:graphicData>
            </a:graphic>
          </wp:inline>
        </w:drawing>
      </w:r>
    </w:p>
    <w:p>
      <w:pPr>
        <w:adjustRightInd w:val="0"/>
        <w:snapToGrid w:val="0"/>
        <w:jc w:val="center"/>
        <w:rPr>
          <w:rFonts w:ascii="宋体" w:hAnsi="宋体"/>
          <w:b/>
          <w:bCs/>
          <w:sz w:val="52"/>
          <w:szCs w:val="52"/>
        </w:rPr>
      </w:pPr>
    </w:p>
    <w:p>
      <w:pPr>
        <w:pStyle w:val="21"/>
        <w:jc w:val="center"/>
        <w:rPr>
          <w:rFonts w:ascii="宋体" w:hAnsi="宋体"/>
          <w:sz w:val="52"/>
          <w:szCs w:val="52"/>
        </w:rPr>
      </w:pPr>
    </w:p>
    <w:p>
      <w:pPr>
        <w:pStyle w:val="21"/>
        <w:jc w:val="center"/>
        <w:rPr>
          <w:rFonts w:ascii="宋体" w:hAnsi="宋体"/>
          <w:sz w:val="52"/>
          <w:szCs w:val="52"/>
        </w:rPr>
      </w:pPr>
    </w:p>
    <w:p>
      <w:pPr>
        <w:tabs>
          <w:tab w:val="center" w:pos="4156"/>
          <w:tab w:val="left" w:pos="6405"/>
        </w:tabs>
        <w:adjustRightInd w:val="0"/>
        <w:snapToGrid w:val="0"/>
        <w:jc w:val="center"/>
        <w:rPr>
          <w:rFonts w:ascii="宋体" w:hAnsi="宋体"/>
          <w:b/>
          <w:bCs/>
          <w:sz w:val="72"/>
          <w:szCs w:val="72"/>
        </w:rPr>
      </w:pPr>
      <w:r>
        <w:rPr>
          <w:rFonts w:hint="eastAsia" w:ascii="宋体" w:hAnsi="宋体"/>
          <w:b/>
          <w:bCs/>
          <w:sz w:val="72"/>
          <w:szCs w:val="72"/>
        </w:rPr>
        <w:t>竞争性磋商文件</w:t>
      </w:r>
    </w:p>
    <w:p>
      <w:pPr>
        <w:adjustRightInd w:val="0"/>
        <w:snapToGrid w:val="0"/>
        <w:jc w:val="center"/>
        <w:rPr>
          <w:rFonts w:ascii="宋体" w:hAnsi="宋体"/>
          <w:b/>
          <w:bCs/>
          <w:sz w:val="52"/>
          <w:szCs w:val="52"/>
        </w:rPr>
      </w:pPr>
    </w:p>
    <w:p>
      <w:pPr>
        <w:pStyle w:val="39"/>
        <w:ind w:firstLine="0" w:firstLineChars="0"/>
        <w:jc w:val="left"/>
        <w:rPr>
          <w:rFonts w:ascii="宋体" w:hAnsi="宋体"/>
          <w:b/>
          <w:bCs/>
          <w:szCs w:val="28"/>
        </w:rPr>
      </w:pPr>
    </w:p>
    <w:p>
      <w:pPr>
        <w:pStyle w:val="39"/>
        <w:ind w:firstLine="0" w:firstLineChars="0"/>
        <w:jc w:val="left"/>
        <w:rPr>
          <w:rFonts w:ascii="宋体" w:hAnsi="宋体"/>
          <w:b/>
          <w:bCs/>
          <w:szCs w:val="28"/>
        </w:rPr>
      </w:pPr>
    </w:p>
    <w:p>
      <w:pPr>
        <w:pStyle w:val="39"/>
        <w:ind w:firstLine="0" w:firstLineChars="0"/>
        <w:jc w:val="left"/>
        <w:rPr>
          <w:rFonts w:ascii="宋体" w:hAnsi="宋体"/>
          <w:b/>
          <w:bCs/>
          <w:szCs w:val="28"/>
        </w:rPr>
      </w:pPr>
    </w:p>
    <w:p>
      <w:pPr>
        <w:pStyle w:val="39"/>
        <w:ind w:firstLine="0" w:firstLineChars="0"/>
        <w:jc w:val="left"/>
        <w:rPr>
          <w:rFonts w:ascii="宋体" w:hAnsi="宋体"/>
          <w:b/>
          <w:bCs/>
          <w:szCs w:val="28"/>
        </w:rPr>
      </w:pPr>
    </w:p>
    <w:p>
      <w:pPr>
        <w:pStyle w:val="39"/>
        <w:ind w:firstLine="0" w:firstLineChars="0"/>
        <w:jc w:val="left"/>
        <w:rPr>
          <w:rFonts w:ascii="宋体" w:hAnsi="宋体"/>
          <w:b/>
          <w:bCs/>
          <w:szCs w:val="28"/>
        </w:rPr>
      </w:pPr>
    </w:p>
    <w:p>
      <w:pPr>
        <w:pStyle w:val="39"/>
        <w:ind w:left="2700" w:leftChars="600" w:hanging="1542" w:hangingChars="509"/>
        <w:jc w:val="left"/>
        <w:rPr>
          <w:rFonts w:ascii="宋体" w:hAnsi="宋体"/>
          <w:b/>
          <w:bCs/>
          <w:sz w:val="32"/>
          <w:szCs w:val="32"/>
        </w:rPr>
      </w:pPr>
      <w:r>
        <w:rPr>
          <w:rFonts w:hint="eastAsia" w:ascii="宋体" w:hAnsi="宋体"/>
          <w:b/>
          <w:bCs/>
          <w:sz w:val="32"/>
          <w:szCs w:val="32"/>
        </w:rPr>
        <w:t>项目名称：武警茂名支队机动中队综合智慧训练场建设项目（一期）</w:t>
      </w:r>
    </w:p>
    <w:p>
      <w:pPr>
        <w:pStyle w:val="39"/>
        <w:ind w:left="1364" w:leftChars="600" w:hanging="206" w:hangingChars="68"/>
        <w:jc w:val="left"/>
        <w:rPr>
          <w:rFonts w:ascii="宋体" w:hAnsi="宋体"/>
          <w:b/>
          <w:bCs/>
          <w:sz w:val="32"/>
          <w:szCs w:val="32"/>
        </w:rPr>
      </w:pPr>
      <w:r>
        <w:rPr>
          <w:rFonts w:hint="eastAsia" w:ascii="宋体" w:hAnsi="宋体"/>
          <w:b/>
          <w:bCs/>
          <w:sz w:val="32"/>
          <w:szCs w:val="32"/>
        </w:rPr>
        <w:t>项目编号：GDDHZB20240004</w:t>
      </w:r>
    </w:p>
    <w:p>
      <w:pPr>
        <w:pStyle w:val="39"/>
        <w:ind w:left="1364" w:leftChars="600" w:hanging="206" w:hangingChars="68"/>
        <w:jc w:val="left"/>
        <w:rPr>
          <w:rFonts w:ascii="宋体" w:hAnsi="宋体"/>
          <w:b/>
          <w:bCs/>
          <w:sz w:val="32"/>
          <w:szCs w:val="32"/>
        </w:rPr>
      </w:pPr>
      <w:r>
        <w:rPr>
          <w:rFonts w:hint="eastAsia" w:ascii="宋体" w:hAnsi="宋体"/>
          <w:b/>
          <w:bCs/>
          <w:sz w:val="32"/>
          <w:szCs w:val="32"/>
        </w:rPr>
        <w:t>采购人：茂名市发展集团有限公司</w:t>
      </w:r>
    </w:p>
    <w:p>
      <w:pPr>
        <w:pStyle w:val="39"/>
        <w:ind w:left="1364" w:leftChars="600" w:hanging="206" w:hangingChars="68"/>
        <w:jc w:val="left"/>
        <w:rPr>
          <w:rFonts w:ascii="宋体" w:hAnsi="宋体"/>
          <w:b/>
          <w:bCs/>
          <w:sz w:val="32"/>
          <w:szCs w:val="32"/>
        </w:rPr>
      </w:pPr>
      <w:r>
        <w:rPr>
          <w:rFonts w:hint="eastAsia" w:ascii="宋体" w:hAnsi="宋体"/>
          <w:b/>
          <w:bCs/>
          <w:sz w:val="32"/>
          <w:szCs w:val="32"/>
        </w:rPr>
        <w:t>采购代理机构：广东达禾工程管理有限公司</w:t>
      </w:r>
    </w:p>
    <w:p>
      <w:pPr>
        <w:pStyle w:val="39"/>
        <w:ind w:left="1364" w:leftChars="600" w:hanging="206" w:hangingChars="68"/>
        <w:jc w:val="left"/>
        <w:rPr>
          <w:rFonts w:ascii="宋体" w:hAnsi="宋体"/>
          <w:b/>
          <w:bCs/>
          <w:sz w:val="32"/>
          <w:szCs w:val="32"/>
        </w:rPr>
      </w:pPr>
      <w:r>
        <w:rPr>
          <w:rFonts w:hint="eastAsia" w:ascii="宋体" w:hAnsi="宋体"/>
          <w:b/>
          <w:bCs/>
          <w:sz w:val="32"/>
          <w:szCs w:val="32"/>
        </w:rPr>
        <w:t>日期：二○二四年一月</w:t>
      </w:r>
    </w:p>
    <w:p>
      <w:pPr>
        <w:pStyle w:val="39"/>
        <w:ind w:firstLine="0" w:firstLineChars="0"/>
        <w:jc w:val="center"/>
        <w:rPr>
          <w:rFonts w:ascii="宋体" w:hAnsi="宋体"/>
        </w:rPr>
      </w:pPr>
      <w:r>
        <w:rPr>
          <w:rFonts w:ascii="宋体" w:hAnsi="宋体"/>
        </w:rPr>
        <w:br w:type="page"/>
      </w:r>
    </w:p>
    <w:bookmarkEnd w:id="0"/>
    <w:p>
      <w:pPr>
        <w:pStyle w:val="39"/>
        <w:spacing w:beforeLines="50"/>
        <w:ind w:firstLine="0" w:firstLineChars="0"/>
        <w:jc w:val="center"/>
        <w:rPr>
          <w:rFonts w:ascii="宋体" w:hAnsi="宋体"/>
          <w:b/>
          <w:bCs/>
          <w:sz w:val="44"/>
          <w:szCs w:val="44"/>
        </w:rPr>
      </w:pPr>
      <w:r>
        <w:rPr>
          <w:rFonts w:ascii="宋体" w:hAnsi="宋体"/>
          <w:b/>
          <w:bCs/>
          <w:sz w:val="44"/>
          <w:szCs w:val="44"/>
        </w:rPr>
        <w:t>温馨提示</w:t>
      </w:r>
    </w:p>
    <w:p>
      <w:pPr>
        <w:pStyle w:val="3"/>
        <w:jc w:val="center"/>
        <w:rPr>
          <w:rFonts w:ascii="宋体" w:hAnsi="宋体" w:cs="Times New Roman"/>
          <w:b/>
          <w:color w:val="auto"/>
          <w:sz w:val="22"/>
          <w:szCs w:val="21"/>
        </w:rPr>
      </w:pPr>
      <w:r>
        <w:rPr>
          <w:rFonts w:ascii="宋体" w:hAnsi="宋体" w:cs="Times New Roman"/>
          <w:b/>
          <w:color w:val="auto"/>
          <w:sz w:val="22"/>
          <w:szCs w:val="21"/>
        </w:rPr>
        <w:t>（本提示内容非磋商文件的组成部分，仅为善意提醒。如有不一致的地方，以磋商文件为准）</w:t>
      </w:r>
    </w:p>
    <w:p>
      <w:pPr>
        <w:numPr>
          <w:ilvl w:val="0"/>
          <w:numId w:val="3"/>
        </w:numPr>
        <w:tabs>
          <w:tab w:val="left" w:pos="502"/>
          <w:tab w:val="left" w:pos="2279"/>
          <w:tab w:val="left" w:pos="4769"/>
        </w:tabs>
        <w:ind w:left="405" w:hanging="406" w:hangingChars="200"/>
        <w:rPr>
          <w:rFonts w:ascii="宋体" w:hAnsi="宋体"/>
          <w:sz w:val="22"/>
          <w:szCs w:val="21"/>
        </w:rPr>
      </w:pPr>
      <w:r>
        <w:rPr>
          <w:rFonts w:hint="eastAsia" w:ascii="宋体" w:hAnsi="宋体"/>
          <w:sz w:val="22"/>
          <w:szCs w:val="21"/>
        </w:rPr>
        <w:t>“□”为选择项，采购人</w:t>
      </w:r>
      <w:r>
        <w:rPr>
          <w:rFonts w:ascii="宋体" w:hAnsi="宋体"/>
          <w:sz w:val="22"/>
          <w:szCs w:val="21"/>
        </w:rPr>
        <w:t>/采购代理机构采用相应内容的以“■”表示，不采用相应内容的仍然以“□”表示。</w:t>
      </w:r>
    </w:p>
    <w:p>
      <w:pPr>
        <w:numPr>
          <w:ilvl w:val="0"/>
          <w:numId w:val="3"/>
        </w:numPr>
        <w:tabs>
          <w:tab w:val="left" w:pos="502"/>
          <w:tab w:val="left" w:pos="2279"/>
          <w:tab w:val="left" w:pos="4769"/>
        </w:tabs>
        <w:ind w:left="405" w:hanging="406" w:hangingChars="200"/>
        <w:rPr>
          <w:rFonts w:ascii="宋体" w:hAnsi="宋体"/>
          <w:sz w:val="22"/>
          <w:szCs w:val="21"/>
        </w:rPr>
      </w:pPr>
      <w:r>
        <w:rPr>
          <w:rFonts w:ascii="宋体" w:hAnsi="宋体"/>
          <w:sz w:val="22"/>
          <w:szCs w:val="21"/>
        </w:rPr>
        <w:t>本项目邀请供应商参加</w:t>
      </w:r>
      <w:r>
        <w:rPr>
          <w:rFonts w:hint="eastAsia" w:ascii="宋体" w:hAnsi="宋体"/>
          <w:sz w:val="22"/>
          <w:szCs w:val="21"/>
        </w:rPr>
        <w:t>开启</w:t>
      </w:r>
      <w:r>
        <w:rPr>
          <w:rFonts w:ascii="宋体" w:hAnsi="宋体"/>
          <w:sz w:val="22"/>
          <w:szCs w:val="21"/>
        </w:rPr>
        <w:t>会议，</w:t>
      </w:r>
      <w:r>
        <w:rPr>
          <w:rFonts w:hint="eastAsia" w:ascii="宋体" w:hAnsi="宋体"/>
          <w:sz w:val="22"/>
          <w:szCs w:val="21"/>
        </w:rPr>
        <w:t>响应</w:t>
      </w:r>
      <w:r>
        <w:rPr>
          <w:rFonts w:ascii="宋体" w:hAnsi="宋体"/>
          <w:sz w:val="22"/>
          <w:szCs w:val="21"/>
        </w:rPr>
        <w:t>文件递交地址</w:t>
      </w:r>
      <w:r>
        <w:rPr>
          <w:rFonts w:hint="eastAsia" w:ascii="宋体" w:hAnsi="宋体"/>
          <w:sz w:val="22"/>
          <w:szCs w:val="21"/>
        </w:rPr>
        <w:t>/开启</w:t>
      </w:r>
      <w:r>
        <w:rPr>
          <w:rFonts w:ascii="宋体" w:hAnsi="宋体"/>
          <w:sz w:val="22"/>
          <w:szCs w:val="21"/>
        </w:rPr>
        <w:t>地址详见第一</w:t>
      </w:r>
      <w:r>
        <w:rPr>
          <w:rFonts w:hint="eastAsia" w:ascii="宋体" w:hAnsi="宋体"/>
          <w:sz w:val="22"/>
          <w:szCs w:val="21"/>
        </w:rPr>
        <w:t>章磋商</w:t>
      </w:r>
      <w:r>
        <w:rPr>
          <w:rFonts w:ascii="宋体" w:hAnsi="宋体"/>
          <w:sz w:val="22"/>
          <w:szCs w:val="21"/>
        </w:rPr>
        <w:t>邀请。请适当提前</w:t>
      </w:r>
      <w:r>
        <w:rPr>
          <w:rFonts w:hint="eastAsia" w:ascii="宋体" w:hAnsi="宋体"/>
          <w:sz w:val="22"/>
          <w:szCs w:val="21"/>
        </w:rPr>
        <w:t>（</w:t>
      </w:r>
      <w:r>
        <w:rPr>
          <w:rFonts w:ascii="宋体" w:hAnsi="宋体"/>
          <w:sz w:val="22"/>
          <w:szCs w:val="21"/>
        </w:rPr>
        <w:t>可在</w:t>
      </w:r>
      <w:r>
        <w:rPr>
          <w:rFonts w:hint="eastAsia" w:ascii="宋体" w:hAnsi="宋体"/>
          <w:sz w:val="22"/>
          <w:szCs w:val="21"/>
        </w:rPr>
        <w:t>响应文件提交</w:t>
      </w:r>
      <w:r>
        <w:rPr>
          <w:rFonts w:ascii="宋体" w:hAnsi="宋体"/>
          <w:sz w:val="22"/>
          <w:szCs w:val="21"/>
        </w:rPr>
        <w:t>截止时间前30分钟）到达。</w:t>
      </w:r>
    </w:p>
    <w:p>
      <w:pPr>
        <w:numPr>
          <w:ilvl w:val="0"/>
          <w:numId w:val="3"/>
        </w:numPr>
        <w:tabs>
          <w:tab w:val="left" w:pos="502"/>
          <w:tab w:val="left" w:pos="2279"/>
          <w:tab w:val="left" w:pos="4769"/>
        </w:tabs>
        <w:ind w:left="405" w:hanging="406" w:hangingChars="200"/>
        <w:rPr>
          <w:rFonts w:ascii="宋体" w:hAnsi="宋体"/>
          <w:sz w:val="22"/>
          <w:szCs w:val="21"/>
        </w:rPr>
      </w:pPr>
      <w:r>
        <w:rPr>
          <w:rFonts w:hint="eastAsia" w:ascii="宋体" w:hAnsi="宋体"/>
          <w:sz w:val="22"/>
          <w:szCs w:val="21"/>
        </w:rPr>
        <w:t>响应</w:t>
      </w:r>
      <w:r>
        <w:rPr>
          <w:rFonts w:ascii="宋体" w:hAnsi="宋体"/>
          <w:sz w:val="22"/>
          <w:szCs w:val="21"/>
        </w:rPr>
        <w:t>文件应按顺序编制页码。</w:t>
      </w:r>
      <w:r>
        <w:rPr>
          <w:rFonts w:hint="eastAsia" w:ascii="宋体" w:hAnsi="宋体"/>
          <w:sz w:val="22"/>
          <w:szCs w:val="21"/>
        </w:rPr>
        <w:t>请仔细检查响应文件是否已按磋商文件要求盖章、签名、签署日期。</w:t>
      </w:r>
    </w:p>
    <w:p>
      <w:pPr>
        <w:numPr>
          <w:ilvl w:val="0"/>
          <w:numId w:val="3"/>
        </w:numPr>
        <w:tabs>
          <w:tab w:val="left" w:pos="502"/>
          <w:tab w:val="left" w:pos="2279"/>
          <w:tab w:val="left" w:pos="4769"/>
        </w:tabs>
        <w:ind w:left="405" w:hanging="406" w:hangingChars="200"/>
        <w:rPr>
          <w:rFonts w:ascii="宋体" w:hAnsi="宋体"/>
          <w:sz w:val="22"/>
          <w:szCs w:val="21"/>
        </w:rPr>
      </w:pPr>
      <w:r>
        <w:rPr>
          <w:rFonts w:hint="eastAsia" w:ascii="宋体" w:hAnsi="宋体"/>
          <w:sz w:val="22"/>
          <w:szCs w:val="21"/>
        </w:rPr>
        <w:t>请仔细</w:t>
      </w:r>
      <w:r>
        <w:rPr>
          <w:rFonts w:ascii="宋体" w:hAnsi="宋体"/>
          <w:sz w:val="22"/>
          <w:szCs w:val="21"/>
        </w:rPr>
        <w:t>检查</w:t>
      </w:r>
      <w:r>
        <w:rPr>
          <w:rFonts w:hint="eastAsia" w:ascii="宋体" w:hAnsi="宋体"/>
          <w:sz w:val="22"/>
          <w:szCs w:val="21"/>
        </w:rPr>
        <w:t>采购公告中供应商资格中</w:t>
      </w:r>
      <w:r>
        <w:rPr>
          <w:rFonts w:ascii="宋体" w:hAnsi="宋体"/>
          <w:sz w:val="22"/>
          <w:szCs w:val="21"/>
        </w:rPr>
        <w:t>要求相关营业执照或资质证书</w:t>
      </w:r>
      <w:r>
        <w:rPr>
          <w:rFonts w:hint="eastAsia" w:ascii="宋体" w:hAnsi="宋体"/>
          <w:sz w:val="22"/>
          <w:szCs w:val="21"/>
        </w:rPr>
        <w:t>等</w:t>
      </w:r>
      <w:r>
        <w:rPr>
          <w:rFonts w:ascii="宋体" w:hAnsi="宋体"/>
          <w:sz w:val="22"/>
          <w:szCs w:val="21"/>
        </w:rPr>
        <w:t>相关要求资格证书文件复印件加盖供应商公章</w:t>
      </w:r>
      <w:r>
        <w:rPr>
          <w:rFonts w:hint="eastAsia" w:ascii="宋体" w:hAnsi="宋体"/>
          <w:sz w:val="22"/>
          <w:szCs w:val="21"/>
        </w:rPr>
        <w:t>是否</w:t>
      </w:r>
      <w:r>
        <w:rPr>
          <w:rFonts w:ascii="宋体" w:hAnsi="宋体"/>
          <w:sz w:val="22"/>
          <w:szCs w:val="21"/>
        </w:rPr>
        <w:t>编辑在响应文件中</w:t>
      </w:r>
      <w:r>
        <w:rPr>
          <w:rFonts w:hint="eastAsia" w:ascii="宋体" w:hAnsi="宋体"/>
          <w:sz w:val="22"/>
          <w:szCs w:val="21"/>
        </w:rPr>
        <w:t>。</w:t>
      </w:r>
    </w:p>
    <w:p>
      <w:pPr>
        <w:numPr>
          <w:ilvl w:val="0"/>
          <w:numId w:val="3"/>
        </w:numPr>
        <w:tabs>
          <w:tab w:val="left" w:pos="502"/>
          <w:tab w:val="left" w:pos="2279"/>
          <w:tab w:val="left" w:pos="4769"/>
        </w:tabs>
        <w:ind w:left="405" w:hanging="406" w:hangingChars="200"/>
        <w:rPr>
          <w:rFonts w:ascii="宋体" w:hAnsi="宋体"/>
          <w:b/>
          <w:sz w:val="22"/>
          <w:szCs w:val="21"/>
        </w:rPr>
      </w:pPr>
      <w:r>
        <w:rPr>
          <w:rFonts w:hint="eastAsia" w:ascii="宋体" w:hAnsi="宋体"/>
          <w:sz w:val="22"/>
          <w:szCs w:val="21"/>
        </w:rPr>
        <w:t>请仔细</w:t>
      </w:r>
      <w:r>
        <w:rPr>
          <w:rFonts w:ascii="宋体" w:hAnsi="宋体"/>
          <w:sz w:val="22"/>
          <w:szCs w:val="21"/>
        </w:rPr>
        <w:t>根据资格性审查和符合性审查逐条检查响应文件是否符合</w:t>
      </w:r>
      <w:r>
        <w:rPr>
          <w:rFonts w:hint="eastAsia" w:ascii="宋体" w:hAnsi="宋体"/>
          <w:sz w:val="22"/>
          <w:szCs w:val="21"/>
        </w:rPr>
        <w:t>磋商文件</w:t>
      </w:r>
      <w:r>
        <w:rPr>
          <w:rFonts w:ascii="宋体" w:hAnsi="宋体"/>
          <w:sz w:val="22"/>
          <w:szCs w:val="21"/>
        </w:rPr>
        <w:t>要求</w:t>
      </w:r>
      <w:r>
        <w:rPr>
          <w:rFonts w:hint="eastAsia" w:ascii="宋体" w:hAnsi="宋体"/>
          <w:sz w:val="22"/>
          <w:szCs w:val="21"/>
        </w:rPr>
        <w:t>，</w:t>
      </w:r>
      <w:r>
        <w:rPr>
          <w:rFonts w:ascii="宋体" w:hAnsi="宋体"/>
          <w:sz w:val="22"/>
          <w:szCs w:val="21"/>
        </w:rPr>
        <w:t>检查相关证书、人员身份证是否在有效期内。</w:t>
      </w:r>
    </w:p>
    <w:p>
      <w:pPr>
        <w:numPr>
          <w:ilvl w:val="0"/>
          <w:numId w:val="3"/>
        </w:numPr>
        <w:tabs>
          <w:tab w:val="left" w:pos="502"/>
          <w:tab w:val="left" w:pos="2279"/>
          <w:tab w:val="left" w:pos="4769"/>
        </w:tabs>
        <w:ind w:left="405" w:hanging="406" w:hangingChars="200"/>
        <w:rPr>
          <w:rFonts w:ascii="宋体" w:hAnsi="宋体"/>
          <w:sz w:val="22"/>
          <w:szCs w:val="21"/>
        </w:rPr>
      </w:pPr>
      <w:r>
        <w:rPr>
          <w:rFonts w:hint="eastAsia" w:ascii="宋体" w:hAnsi="宋体"/>
          <w:sz w:val="22"/>
          <w:szCs w:val="21"/>
        </w:rPr>
        <w:t>请留意</w:t>
      </w:r>
      <w:r>
        <w:rPr>
          <w:rFonts w:ascii="宋体" w:hAnsi="宋体"/>
          <w:sz w:val="22"/>
          <w:szCs w:val="21"/>
        </w:rPr>
        <w:t>磋商文件资格要求、</w:t>
      </w:r>
      <w:r>
        <w:rPr>
          <w:rFonts w:hint="eastAsia" w:ascii="宋体" w:hAnsi="宋体"/>
          <w:sz w:val="22"/>
          <w:szCs w:val="21"/>
        </w:rPr>
        <w:t>采购需求</w:t>
      </w:r>
      <w:r>
        <w:rPr>
          <w:rFonts w:ascii="宋体" w:hAnsi="宋体"/>
          <w:sz w:val="22"/>
          <w:szCs w:val="21"/>
        </w:rPr>
        <w:t>、</w:t>
      </w:r>
      <w:r>
        <w:rPr>
          <w:rFonts w:hint="eastAsia" w:ascii="宋体" w:hAnsi="宋体"/>
          <w:sz w:val="22"/>
          <w:szCs w:val="21"/>
        </w:rPr>
        <w:t>须知前附表、评审程序</w:t>
      </w:r>
      <w:r>
        <w:rPr>
          <w:rFonts w:ascii="宋体" w:hAnsi="宋体"/>
          <w:sz w:val="22"/>
          <w:szCs w:val="21"/>
        </w:rPr>
        <w:t>、响应文件</w:t>
      </w:r>
      <w:r>
        <w:rPr>
          <w:rFonts w:hint="eastAsia" w:ascii="宋体" w:hAnsi="宋体"/>
          <w:sz w:val="22"/>
          <w:szCs w:val="21"/>
        </w:rPr>
        <w:t>格式备注说明</w:t>
      </w:r>
      <w:r>
        <w:rPr>
          <w:rFonts w:ascii="宋体" w:hAnsi="宋体"/>
          <w:sz w:val="22"/>
          <w:szCs w:val="21"/>
        </w:rPr>
        <w:t>事项中</w:t>
      </w:r>
      <w:r>
        <w:rPr>
          <w:rFonts w:hint="eastAsia" w:ascii="宋体" w:hAnsi="宋体"/>
          <w:sz w:val="22"/>
          <w:szCs w:val="21"/>
        </w:rPr>
        <w:t>是否</w:t>
      </w:r>
      <w:r>
        <w:rPr>
          <w:rFonts w:ascii="宋体" w:hAnsi="宋体"/>
          <w:sz w:val="22"/>
          <w:szCs w:val="21"/>
        </w:rPr>
        <w:t>有要求原件</w:t>
      </w:r>
      <w:r>
        <w:rPr>
          <w:rFonts w:hint="eastAsia" w:ascii="宋体" w:hAnsi="宋体"/>
          <w:sz w:val="22"/>
          <w:szCs w:val="21"/>
        </w:rPr>
        <w:t>核查</w:t>
      </w:r>
      <w:r>
        <w:rPr>
          <w:rFonts w:ascii="宋体" w:hAnsi="宋体"/>
          <w:sz w:val="22"/>
          <w:szCs w:val="21"/>
        </w:rPr>
        <w:t>的，如有，请于</w:t>
      </w:r>
      <w:r>
        <w:rPr>
          <w:rFonts w:hint="eastAsia" w:ascii="宋体" w:hAnsi="宋体"/>
          <w:sz w:val="22"/>
          <w:szCs w:val="21"/>
        </w:rPr>
        <w:t>开启前</w:t>
      </w:r>
      <w:r>
        <w:rPr>
          <w:rFonts w:ascii="宋体" w:hAnsi="宋体"/>
          <w:sz w:val="22"/>
          <w:szCs w:val="21"/>
        </w:rPr>
        <w:t>，将原件</w:t>
      </w:r>
      <w:r>
        <w:rPr>
          <w:rFonts w:hint="eastAsia" w:ascii="宋体" w:hAnsi="宋体"/>
          <w:sz w:val="22"/>
          <w:szCs w:val="21"/>
        </w:rPr>
        <w:t>（</w:t>
      </w:r>
      <w:r>
        <w:rPr>
          <w:rFonts w:ascii="宋体" w:hAnsi="宋体"/>
          <w:sz w:val="22"/>
          <w:szCs w:val="21"/>
        </w:rPr>
        <w:t>请提前准备好递交原件清单</w:t>
      </w:r>
      <w:r>
        <w:rPr>
          <w:rFonts w:hint="eastAsia" w:ascii="宋体" w:hAnsi="宋体"/>
          <w:sz w:val="22"/>
          <w:szCs w:val="21"/>
        </w:rPr>
        <w:t>）连同</w:t>
      </w:r>
      <w:r>
        <w:rPr>
          <w:rFonts w:ascii="宋体" w:hAnsi="宋体"/>
          <w:sz w:val="22"/>
          <w:szCs w:val="21"/>
        </w:rPr>
        <w:t>响应文件一</w:t>
      </w:r>
      <w:r>
        <w:rPr>
          <w:rFonts w:hint="eastAsia" w:ascii="宋体" w:hAnsi="宋体"/>
          <w:sz w:val="22"/>
          <w:szCs w:val="21"/>
        </w:rPr>
        <w:t>并</w:t>
      </w:r>
      <w:r>
        <w:rPr>
          <w:rFonts w:ascii="宋体" w:hAnsi="宋体"/>
          <w:sz w:val="22"/>
          <w:szCs w:val="21"/>
        </w:rPr>
        <w:t>递交。</w:t>
      </w:r>
    </w:p>
    <w:p>
      <w:pPr>
        <w:numPr>
          <w:ilvl w:val="0"/>
          <w:numId w:val="3"/>
        </w:numPr>
        <w:tabs>
          <w:tab w:val="left" w:pos="502"/>
          <w:tab w:val="left" w:pos="2279"/>
          <w:tab w:val="left" w:pos="4769"/>
        </w:tabs>
        <w:ind w:left="405" w:hanging="406" w:hangingChars="200"/>
        <w:rPr>
          <w:rFonts w:ascii="宋体" w:hAnsi="宋体"/>
          <w:sz w:val="22"/>
          <w:szCs w:val="21"/>
        </w:rPr>
      </w:pPr>
      <w:r>
        <w:rPr>
          <w:rFonts w:hint="eastAsia" w:ascii="宋体" w:hAnsi="宋体"/>
          <w:sz w:val="22"/>
          <w:szCs w:val="21"/>
        </w:rPr>
        <w:t>磋商文件</w:t>
      </w:r>
      <w:r>
        <w:rPr>
          <w:rFonts w:ascii="宋体" w:hAnsi="宋体"/>
          <w:sz w:val="22"/>
          <w:szCs w:val="21"/>
        </w:rPr>
        <w:t>中如有实质性条款要求，则响应文件格式中《</w:t>
      </w:r>
      <w:r>
        <w:rPr>
          <w:rFonts w:hint="eastAsia" w:ascii="宋体" w:hAnsi="宋体"/>
          <w:sz w:val="22"/>
          <w:szCs w:val="21"/>
        </w:rPr>
        <w:t>实质性条款响应表》</w:t>
      </w:r>
      <w:r>
        <w:rPr>
          <w:rFonts w:ascii="宋体" w:hAnsi="宋体"/>
          <w:sz w:val="22"/>
          <w:szCs w:val="21"/>
        </w:rPr>
        <w:t>不能留空白，一定要按照磋商文件要求填写。</w:t>
      </w:r>
    </w:p>
    <w:p>
      <w:pPr>
        <w:numPr>
          <w:ilvl w:val="0"/>
          <w:numId w:val="3"/>
        </w:numPr>
        <w:tabs>
          <w:tab w:val="left" w:pos="502"/>
          <w:tab w:val="left" w:pos="2279"/>
          <w:tab w:val="left" w:pos="4769"/>
        </w:tabs>
        <w:ind w:left="405" w:hanging="406" w:hangingChars="200"/>
        <w:rPr>
          <w:rFonts w:ascii="宋体" w:hAnsi="宋体"/>
          <w:sz w:val="22"/>
          <w:szCs w:val="21"/>
        </w:rPr>
      </w:pPr>
      <w:r>
        <w:rPr>
          <w:rFonts w:hint="eastAsia" w:ascii="宋体" w:hAnsi="宋体"/>
          <w:sz w:val="22"/>
          <w:szCs w:val="21"/>
        </w:rPr>
        <w:t>请正确填写《首轮报价表》《分项报价表》（如有）。多包组项目请仔细检查包组号，包组号与包组采购内容必须对应。</w:t>
      </w:r>
    </w:p>
    <w:p>
      <w:pPr>
        <w:numPr>
          <w:ilvl w:val="0"/>
          <w:numId w:val="3"/>
        </w:numPr>
        <w:tabs>
          <w:tab w:val="left" w:pos="502"/>
          <w:tab w:val="left" w:pos="1408"/>
          <w:tab w:val="left" w:pos="4769"/>
        </w:tabs>
        <w:ind w:left="405" w:hanging="406" w:hangingChars="200"/>
        <w:rPr>
          <w:rFonts w:ascii="宋体" w:hAnsi="宋体"/>
          <w:sz w:val="22"/>
          <w:szCs w:val="21"/>
        </w:rPr>
      </w:pPr>
      <w:r>
        <w:rPr>
          <w:rFonts w:hint="eastAsia" w:ascii="宋体" w:hAnsi="宋体"/>
          <w:sz w:val="22"/>
          <w:szCs w:val="21"/>
        </w:rPr>
        <w:t>如响应产品属于许可证管理范围内的，须提交相应的许可证复印件。</w:t>
      </w:r>
    </w:p>
    <w:p>
      <w:pPr>
        <w:numPr>
          <w:ilvl w:val="0"/>
          <w:numId w:val="3"/>
        </w:numPr>
        <w:tabs>
          <w:tab w:val="left" w:pos="502"/>
          <w:tab w:val="left" w:pos="1408"/>
          <w:tab w:val="left" w:pos="4769"/>
        </w:tabs>
        <w:ind w:left="405" w:hanging="406" w:hangingChars="200"/>
        <w:rPr>
          <w:rFonts w:ascii="宋体" w:hAnsi="宋体"/>
          <w:sz w:val="22"/>
          <w:szCs w:val="21"/>
        </w:rPr>
      </w:pPr>
      <w:r>
        <w:rPr>
          <w:rFonts w:hint="eastAsia" w:ascii="宋体" w:hAnsi="宋体"/>
          <w:sz w:val="22"/>
          <w:szCs w:val="21"/>
        </w:rPr>
        <w:t>为了提高采购效率，节约社会交易成本与时间，我司希望购买了磋商文件的供应商如果决定放弃响应，在响应文件递交截止时间的3日前，以书面盖章形式告知采购代理机构</w:t>
      </w:r>
      <w:r>
        <w:rPr>
          <w:rFonts w:hint="eastAsia" w:ascii="宋体" w:hAnsi="宋体"/>
          <w:szCs w:val="21"/>
        </w:rPr>
        <w:t>：</w:t>
      </w:r>
      <w:r>
        <w:rPr>
          <w:rFonts w:ascii="宋体" w:hAnsi="宋体"/>
          <w:szCs w:val="21"/>
        </w:rPr>
        <w:t>gddhzb@163.com</w:t>
      </w:r>
      <w:r>
        <w:rPr>
          <w:rFonts w:ascii="宋体" w:hAnsi="宋体"/>
          <w:sz w:val="22"/>
          <w:szCs w:val="21"/>
        </w:rPr>
        <w:t>。</w:t>
      </w:r>
    </w:p>
    <w:p>
      <w:pPr>
        <w:numPr>
          <w:ilvl w:val="0"/>
          <w:numId w:val="3"/>
        </w:numPr>
        <w:tabs>
          <w:tab w:val="left" w:pos="502"/>
          <w:tab w:val="left" w:pos="1408"/>
          <w:tab w:val="left" w:pos="4769"/>
        </w:tabs>
        <w:ind w:left="405" w:hanging="406" w:hangingChars="200"/>
        <w:jc w:val="left"/>
        <w:rPr>
          <w:rFonts w:ascii="宋体" w:hAnsi="宋体"/>
          <w:sz w:val="22"/>
          <w:szCs w:val="21"/>
        </w:rPr>
      </w:pPr>
      <w:r>
        <w:rPr>
          <w:rFonts w:hint="eastAsia" w:ascii="宋体" w:hAnsi="宋体"/>
          <w:sz w:val="22"/>
          <w:szCs w:val="21"/>
        </w:rPr>
        <w:t>根据“节约能源、保护环境”要求，建议供应商双面打印响应文件。</w:t>
      </w:r>
    </w:p>
    <w:p>
      <w:pPr>
        <w:rPr>
          <w:rFonts w:ascii="宋体" w:hAnsi="宋体"/>
          <w:b/>
          <w:sz w:val="22"/>
          <w:szCs w:val="21"/>
        </w:rPr>
      </w:pPr>
      <w:r>
        <w:rPr>
          <w:rFonts w:ascii="宋体" w:hAnsi="宋体"/>
          <w:b/>
          <w:sz w:val="22"/>
          <w:szCs w:val="21"/>
        </w:rPr>
        <w:br w:type="page"/>
      </w:r>
    </w:p>
    <w:p>
      <w:pPr>
        <w:tabs>
          <w:tab w:val="left" w:pos="502"/>
          <w:tab w:val="left" w:pos="1408"/>
          <w:tab w:val="left" w:pos="4769"/>
        </w:tabs>
        <w:jc w:val="center"/>
        <w:rPr>
          <w:rFonts w:ascii="宋体" w:hAnsi="宋体"/>
          <w:b/>
          <w:sz w:val="22"/>
          <w:szCs w:val="21"/>
        </w:rPr>
      </w:pPr>
    </w:p>
    <w:p>
      <w:pPr>
        <w:tabs>
          <w:tab w:val="left" w:pos="502"/>
          <w:tab w:val="left" w:pos="1408"/>
          <w:tab w:val="left" w:pos="4769"/>
        </w:tabs>
        <w:jc w:val="center"/>
        <w:rPr>
          <w:rFonts w:ascii="宋体" w:hAnsi="宋体"/>
          <w:b/>
          <w:sz w:val="22"/>
          <w:szCs w:val="21"/>
        </w:rPr>
      </w:pPr>
      <w:r>
        <w:rPr>
          <w:rFonts w:hint="eastAsia" w:ascii="宋体" w:hAnsi="宋体"/>
          <w:b/>
          <w:bCs/>
          <w:sz w:val="52"/>
          <w:szCs w:val="52"/>
        </w:rPr>
        <w:t>目录</w:t>
      </w:r>
    </w:p>
    <w:p>
      <w:pPr>
        <w:tabs>
          <w:tab w:val="left" w:pos="502"/>
          <w:tab w:val="left" w:pos="1408"/>
          <w:tab w:val="left" w:pos="4769"/>
        </w:tabs>
        <w:jc w:val="center"/>
        <w:rPr>
          <w:rFonts w:ascii="宋体" w:hAnsi="宋体"/>
          <w:b/>
          <w:sz w:val="22"/>
          <w:szCs w:val="21"/>
        </w:rPr>
      </w:pPr>
    </w:p>
    <w:p>
      <w:pPr>
        <w:pStyle w:val="33"/>
        <w:tabs>
          <w:tab w:val="right" w:leader="dot" w:pos="9016"/>
        </w:tabs>
        <w:spacing w:before="0" w:after="0" w:line="720" w:lineRule="auto"/>
        <w:rPr>
          <w:rFonts w:ascii="宋体" w:hAnsi="宋体" w:cstheme="minorBidi"/>
          <w:b w:val="0"/>
          <w:bCs w:val="0"/>
          <w:caps w:val="0"/>
          <w:sz w:val="21"/>
          <w:szCs w:val="22"/>
        </w:rPr>
      </w:pPr>
      <w:bookmarkStart w:id="1" w:name="_Toc104040676"/>
      <w:bookmarkStart w:id="2" w:name="_Toc103216633"/>
      <w:r>
        <w:rPr>
          <w:rFonts w:ascii="宋体" w:hAnsi="宋体"/>
          <w:b w:val="0"/>
          <w:bCs w:val="0"/>
          <w:szCs w:val="21"/>
        </w:rPr>
        <w:fldChar w:fldCharType="begin"/>
      </w:r>
      <w:r>
        <w:rPr>
          <w:rFonts w:ascii="宋体" w:hAnsi="宋体"/>
          <w:b w:val="0"/>
          <w:bCs w:val="0"/>
          <w:szCs w:val="21"/>
        </w:rPr>
        <w:instrText xml:space="preserve"> TOC \o "1-1" \h \z \u </w:instrText>
      </w:r>
      <w:r>
        <w:rPr>
          <w:rFonts w:ascii="宋体" w:hAnsi="宋体"/>
          <w:b w:val="0"/>
          <w:bCs w:val="0"/>
          <w:szCs w:val="21"/>
        </w:rPr>
        <w:fldChar w:fldCharType="separate"/>
      </w:r>
      <w:r>
        <w:fldChar w:fldCharType="begin"/>
      </w:r>
      <w:r>
        <w:instrText xml:space="preserve"> HYPERLINK \l "_Toc114516593" </w:instrText>
      </w:r>
      <w:r>
        <w:fldChar w:fldCharType="separate"/>
      </w:r>
      <w:r>
        <w:rPr>
          <w:rStyle w:val="60"/>
          <w:rFonts w:ascii="宋体" w:hAnsi="宋体"/>
          <w:color w:val="auto"/>
        </w:rPr>
        <w:t>第一章 磋商邀请</w:t>
      </w:r>
      <w:r>
        <w:rPr>
          <w:rFonts w:ascii="宋体" w:hAnsi="宋体"/>
        </w:rPr>
        <w:tab/>
      </w:r>
      <w:r>
        <w:rPr>
          <w:rFonts w:ascii="宋体" w:hAnsi="宋体"/>
        </w:rPr>
        <w:fldChar w:fldCharType="begin"/>
      </w:r>
      <w:r>
        <w:rPr>
          <w:rFonts w:ascii="宋体" w:hAnsi="宋体"/>
        </w:rPr>
        <w:instrText xml:space="preserve"> PAGEREF _Toc114516593 \h </w:instrText>
      </w:r>
      <w:r>
        <w:rPr>
          <w:rFonts w:ascii="宋体" w:hAnsi="宋体"/>
        </w:rPr>
        <w:fldChar w:fldCharType="separate"/>
      </w:r>
      <w:r>
        <w:rPr>
          <w:rFonts w:ascii="宋体" w:hAnsi="宋体"/>
        </w:rPr>
        <w:t>4</w:t>
      </w:r>
      <w:r>
        <w:rPr>
          <w:rFonts w:ascii="宋体" w:hAnsi="宋体"/>
        </w:rPr>
        <w:fldChar w:fldCharType="end"/>
      </w:r>
      <w:r>
        <w:rPr>
          <w:rFonts w:ascii="宋体" w:hAnsi="宋体"/>
        </w:rPr>
        <w:fldChar w:fldCharType="end"/>
      </w:r>
    </w:p>
    <w:p>
      <w:pPr>
        <w:pStyle w:val="33"/>
        <w:tabs>
          <w:tab w:val="right" w:leader="dot" w:pos="9016"/>
        </w:tabs>
        <w:spacing w:before="0" w:after="0" w:line="720" w:lineRule="auto"/>
        <w:rPr>
          <w:rFonts w:ascii="宋体" w:hAnsi="宋体" w:cstheme="minorBidi"/>
          <w:b w:val="0"/>
          <w:bCs w:val="0"/>
          <w:caps w:val="0"/>
          <w:sz w:val="21"/>
          <w:szCs w:val="22"/>
        </w:rPr>
      </w:pPr>
      <w:r>
        <w:fldChar w:fldCharType="begin"/>
      </w:r>
      <w:r>
        <w:instrText xml:space="preserve"> HYPERLINK \l "_Toc114516594" </w:instrText>
      </w:r>
      <w:r>
        <w:fldChar w:fldCharType="separate"/>
      </w:r>
      <w:r>
        <w:rPr>
          <w:rStyle w:val="60"/>
          <w:rFonts w:ascii="宋体" w:hAnsi="宋体"/>
          <w:color w:val="auto"/>
        </w:rPr>
        <w:t>第二章 采购需求</w:t>
      </w:r>
      <w:r>
        <w:rPr>
          <w:rFonts w:ascii="宋体" w:hAnsi="宋体"/>
        </w:rPr>
        <w:tab/>
      </w:r>
      <w:r>
        <w:rPr>
          <w:rFonts w:ascii="宋体" w:hAnsi="宋体"/>
        </w:rPr>
        <w:fldChar w:fldCharType="begin"/>
      </w:r>
      <w:r>
        <w:rPr>
          <w:rFonts w:ascii="宋体" w:hAnsi="宋体"/>
        </w:rPr>
        <w:instrText xml:space="preserve"> PAGEREF _Toc114516594 \h </w:instrText>
      </w:r>
      <w:r>
        <w:rPr>
          <w:rFonts w:ascii="宋体" w:hAnsi="宋体"/>
        </w:rPr>
        <w:fldChar w:fldCharType="separate"/>
      </w:r>
      <w:r>
        <w:rPr>
          <w:rFonts w:ascii="宋体" w:hAnsi="宋体"/>
        </w:rPr>
        <w:t>7</w:t>
      </w:r>
      <w:r>
        <w:rPr>
          <w:rFonts w:ascii="宋体" w:hAnsi="宋体"/>
        </w:rPr>
        <w:fldChar w:fldCharType="end"/>
      </w:r>
      <w:r>
        <w:rPr>
          <w:rFonts w:ascii="宋体" w:hAnsi="宋体"/>
        </w:rPr>
        <w:fldChar w:fldCharType="end"/>
      </w:r>
    </w:p>
    <w:p>
      <w:pPr>
        <w:pStyle w:val="33"/>
        <w:tabs>
          <w:tab w:val="right" w:leader="dot" w:pos="9016"/>
        </w:tabs>
        <w:spacing w:before="0" w:after="0" w:line="720" w:lineRule="auto"/>
        <w:rPr>
          <w:rFonts w:ascii="宋体" w:hAnsi="宋体" w:cstheme="minorBidi"/>
          <w:b w:val="0"/>
          <w:bCs w:val="0"/>
          <w:caps w:val="0"/>
          <w:sz w:val="21"/>
          <w:szCs w:val="22"/>
        </w:rPr>
      </w:pPr>
      <w:r>
        <w:fldChar w:fldCharType="begin"/>
      </w:r>
      <w:r>
        <w:instrText xml:space="preserve"> HYPERLINK \l "_Toc114516595" </w:instrText>
      </w:r>
      <w:r>
        <w:fldChar w:fldCharType="separate"/>
      </w:r>
      <w:r>
        <w:rPr>
          <w:rStyle w:val="60"/>
          <w:rFonts w:ascii="宋体" w:hAnsi="宋体"/>
          <w:color w:val="auto"/>
        </w:rPr>
        <w:t>第三章 供应商须知</w:t>
      </w:r>
      <w:r>
        <w:rPr>
          <w:rFonts w:ascii="宋体" w:hAnsi="宋体"/>
        </w:rPr>
        <w:tab/>
      </w:r>
      <w:r>
        <w:rPr>
          <w:rFonts w:hint="eastAsia" w:ascii="宋体" w:hAnsi="宋体"/>
        </w:rPr>
        <w:t>3</w:t>
      </w:r>
      <w:r>
        <w:rPr>
          <w:rFonts w:hint="eastAsia" w:ascii="宋体" w:hAnsi="宋体"/>
        </w:rPr>
        <w:fldChar w:fldCharType="end"/>
      </w:r>
      <w:r>
        <w:rPr>
          <w:rFonts w:hint="eastAsia" w:ascii="宋体" w:hAnsi="宋体"/>
        </w:rPr>
        <w:t>0</w:t>
      </w:r>
    </w:p>
    <w:p>
      <w:pPr>
        <w:pStyle w:val="33"/>
        <w:tabs>
          <w:tab w:val="right" w:leader="dot" w:pos="9016"/>
        </w:tabs>
        <w:spacing w:before="0" w:after="0" w:line="720" w:lineRule="auto"/>
        <w:rPr>
          <w:rFonts w:ascii="宋体" w:hAnsi="宋体" w:cstheme="minorBidi"/>
          <w:b w:val="0"/>
          <w:bCs w:val="0"/>
          <w:caps w:val="0"/>
          <w:sz w:val="21"/>
          <w:szCs w:val="22"/>
        </w:rPr>
      </w:pPr>
      <w:r>
        <w:fldChar w:fldCharType="begin"/>
      </w:r>
      <w:r>
        <w:instrText xml:space="preserve"> HYPERLINK \l "_Toc114516596" </w:instrText>
      </w:r>
      <w:r>
        <w:fldChar w:fldCharType="separate"/>
      </w:r>
      <w:r>
        <w:rPr>
          <w:rStyle w:val="60"/>
          <w:rFonts w:ascii="宋体" w:hAnsi="宋体"/>
          <w:color w:val="auto"/>
        </w:rPr>
        <w:t>第四章 评审</w:t>
      </w:r>
      <w:r>
        <w:rPr>
          <w:rFonts w:ascii="宋体" w:hAnsi="宋体"/>
        </w:rPr>
        <w:tab/>
      </w:r>
      <w:r>
        <w:rPr>
          <w:rFonts w:hint="eastAsia" w:ascii="宋体" w:hAnsi="宋体"/>
        </w:rPr>
        <w:t>4</w:t>
      </w:r>
      <w:r>
        <w:rPr>
          <w:rFonts w:hint="eastAsia" w:ascii="宋体" w:hAnsi="宋体"/>
        </w:rPr>
        <w:fldChar w:fldCharType="end"/>
      </w:r>
      <w:r>
        <w:rPr>
          <w:rFonts w:hint="eastAsia" w:ascii="宋体" w:hAnsi="宋体"/>
        </w:rPr>
        <w:t>4</w:t>
      </w:r>
    </w:p>
    <w:p>
      <w:pPr>
        <w:pStyle w:val="33"/>
        <w:tabs>
          <w:tab w:val="right" w:leader="dot" w:pos="9016"/>
        </w:tabs>
        <w:spacing w:before="0" w:after="0" w:line="720" w:lineRule="auto"/>
        <w:rPr>
          <w:rFonts w:ascii="宋体" w:hAnsi="宋体" w:cstheme="minorBidi"/>
          <w:b w:val="0"/>
          <w:bCs w:val="0"/>
          <w:caps w:val="0"/>
          <w:sz w:val="21"/>
          <w:szCs w:val="22"/>
        </w:rPr>
      </w:pPr>
      <w:r>
        <w:fldChar w:fldCharType="begin"/>
      </w:r>
      <w:r>
        <w:instrText xml:space="preserve"> HYPERLINK \l "_Toc114516597" </w:instrText>
      </w:r>
      <w:r>
        <w:fldChar w:fldCharType="separate"/>
      </w:r>
      <w:r>
        <w:rPr>
          <w:rStyle w:val="60"/>
          <w:rFonts w:ascii="宋体" w:hAnsi="宋体"/>
          <w:color w:val="auto"/>
        </w:rPr>
        <w:t>第五章 合同文本</w:t>
      </w:r>
      <w:r>
        <w:rPr>
          <w:rFonts w:ascii="宋体" w:hAnsi="宋体"/>
        </w:rPr>
        <w:tab/>
      </w:r>
      <w:r>
        <w:rPr>
          <w:rFonts w:hint="eastAsia" w:ascii="宋体" w:hAnsi="宋体"/>
        </w:rPr>
        <w:t>5</w:t>
      </w:r>
      <w:r>
        <w:rPr>
          <w:rFonts w:hint="eastAsia" w:ascii="宋体" w:hAnsi="宋体"/>
        </w:rPr>
        <w:fldChar w:fldCharType="end"/>
      </w:r>
      <w:r>
        <w:rPr>
          <w:rFonts w:hint="eastAsia" w:ascii="宋体" w:hAnsi="宋体"/>
        </w:rPr>
        <w:t>3</w:t>
      </w:r>
    </w:p>
    <w:p>
      <w:pPr>
        <w:pStyle w:val="33"/>
        <w:tabs>
          <w:tab w:val="right" w:leader="dot" w:pos="9016"/>
        </w:tabs>
        <w:spacing w:before="0" w:after="0" w:line="720" w:lineRule="auto"/>
        <w:rPr>
          <w:rFonts w:ascii="宋体" w:hAnsi="宋体" w:cstheme="minorBidi"/>
          <w:b w:val="0"/>
          <w:bCs w:val="0"/>
          <w:caps w:val="0"/>
          <w:sz w:val="21"/>
          <w:szCs w:val="22"/>
        </w:rPr>
      </w:pPr>
      <w:r>
        <w:fldChar w:fldCharType="begin"/>
      </w:r>
      <w:r>
        <w:instrText xml:space="preserve"> HYPERLINK \l "_Toc114516598" </w:instrText>
      </w:r>
      <w:r>
        <w:fldChar w:fldCharType="separate"/>
      </w:r>
      <w:r>
        <w:rPr>
          <w:rStyle w:val="60"/>
          <w:rFonts w:ascii="宋体" w:hAnsi="宋体"/>
          <w:color w:val="auto"/>
        </w:rPr>
        <w:t>第六章 响应文件格式与要求</w:t>
      </w:r>
      <w:r>
        <w:rPr>
          <w:rFonts w:ascii="宋体" w:hAnsi="宋体"/>
        </w:rPr>
        <w:tab/>
      </w:r>
      <w:r>
        <w:rPr>
          <w:rFonts w:hint="eastAsia" w:ascii="宋体" w:hAnsi="宋体"/>
        </w:rPr>
        <w:t>1</w:t>
      </w:r>
      <w:r>
        <w:rPr>
          <w:rFonts w:hint="eastAsia" w:ascii="宋体" w:hAnsi="宋体"/>
        </w:rPr>
        <w:fldChar w:fldCharType="end"/>
      </w:r>
      <w:r>
        <w:rPr>
          <w:rFonts w:hint="eastAsia" w:ascii="宋体" w:hAnsi="宋体"/>
        </w:rPr>
        <w:t>73</w:t>
      </w:r>
    </w:p>
    <w:p>
      <w:pPr>
        <w:spacing w:line="720" w:lineRule="auto"/>
        <w:rPr>
          <w:rFonts w:ascii="宋体" w:hAnsi="宋体"/>
          <w:szCs w:val="21"/>
        </w:rPr>
      </w:pPr>
      <w:r>
        <w:rPr>
          <w:rFonts w:ascii="宋体" w:hAnsi="宋体"/>
          <w:b/>
          <w:bCs/>
          <w:sz w:val="32"/>
          <w:szCs w:val="21"/>
        </w:rPr>
        <w:fldChar w:fldCharType="end"/>
      </w:r>
    </w:p>
    <w:p>
      <w:pPr>
        <w:jc w:val="center"/>
        <w:rPr>
          <w:rFonts w:ascii="宋体" w:hAnsi="宋体"/>
          <w:b/>
          <w:bCs/>
          <w:sz w:val="36"/>
          <w:szCs w:val="36"/>
        </w:rPr>
      </w:pPr>
      <w:r>
        <w:rPr>
          <w:rFonts w:ascii="宋体" w:hAnsi="宋体"/>
        </w:rPr>
        <w:br w:type="page"/>
      </w:r>
      <w:bookmarkStart w:id="3" w:name="_Toc114516593"/>
      <w:r>
        <w:rPr>
          <w:rFonts w:hint="eastAsia" w:ascii="宋体" w:hAnsi="宋体"/>
          <w:b/>
          <w:bCs/>
          <w:sz w:val="28"/>
          <w:szCs w:val="36"/>
        </w:rPr>
        <w:t>第一章 磋商邀请</w:t>
      </w:r>
      <w:bookmarkEnd w:id="1"/>
      <w:bookmarkEnd w:id="2"/>
      <w:bookmarkEnd w:id="3"/>
    </w:p>
    <w:p>
      <w:pPr>
        <w:pStyle w:val="5"/>
        <w:numPr>
          <w:ilvl w:val="0"/>
          <w:numId w:val="4"/>
        </w:numPr>
        <w:rPr>
          <w:rFonts w:ascii="宋体" w:hAnsi="宋体"/>
        </w:rPr>
      </w:pPr>
      <w:bookmarkStart w:id="4" w:name="_Toc104040677"/>
      <w:bookmarkStart w:id="5" w:name="_Hlk118211667"/>
      <w:r>
        <w:rPr>
          <w:rFonts w:hint="eastAsia" w:ascii="宋体" w:hAnsi="宋体"/>
        </w:rPr>
        <w:t>项目基本情况</w:t>
      </w:r>
      <w:bookmarkEnd w:id="4"/>
    </w:p>
    <w:p>
      <w:pPr>
        <w:ind w:firstLine="386" w:firstLineChars="200"/>
        <w:rPr>
          <w:rFonts w:ascii="宋体" w:hAnsi="宋体"/>
          <w:szCs w:val="21"/>
        </w:rPr>
      </w:pPr>
      <w:r>
        <w:rPr>
          <w:rFonts w:hint="eastAsia" w:ascii="宋体" w:hAnsi="宋体"/>
          <w:szCs w:val="21"/>
        </w:rPr>
        <w:t>项目编号：GDDHZB20240004</w:t>
      </w:r>
    </w:p>
    <w:p>
      <w:pPr>
        <w:ind w:firstLine="386" w:firstLineChars="200"/>
        <w:rPr>
          <w:rFonts w:ascii="宋体" w:hAnsi="宋体"/>
          <w:szCs w:val="21"/>
        </w:rPr>
      </w:pPr>
      <w:r>
        <w:rPr>
          <w:rFonts w:hint="eastAsia" w:ascii="宋体" w:hAnsi="宋体"/>
          <w:szCs w:val="21"/>
        </w:rPr>
        <w:t>项目名称：</w:t>
      </w:r>
      <w:r>
        <w:rPr>
          <w:rFonts w:hint="eastAsia" w:ascii="宋体" w:hAnsi="宋体"/>
          <w:szCs w:val="28"/>
        </w:rPr>
        <w:t>武警茂名支队机动中队综合智慧训练场建设项目（一期）</w:t>
      </w:r>
    </w:p>
    <w:p>
      <w:pPr>
        <w:ind w:firstLine="386" w:firstLineChars="200"/>
        <w:rPr>
          <w:rFonts w:ascii="宋体" w:hAnsi="宋体"/>
          <w:szCs w:val="21"/>
        </w:rPr>
      </w:pPr>
      <w:r>
        <w:rPr>
          <w:rFonts w:hint="eastAsia" w:ascii="宋体" w:hAnsi="宋体"/>
          <w:szCs w:val="21"/>
        </w:rPr>
        <w:t>采购方式：竞争性磋商</w:t>
      </w:r>
    </w:p>
    <w:p>
      <w:pPr>
        <w:ind w:firstLine="386" w:firstLineChars="200"/>
        <w:rPr>
          <w:rFonts w:ascii="宋体" w:hAnsi="宋体"/>
          <w:szCs w:val="21"/>
        </w:rPr>
      </w:pPr>
      <w:r>
        <w:rPr>
          <w:rFonts w:hint="eastAsia" w:ascii="宋体" w:hAnsi="宋体"/>
          <w:szCs w:val="21"/>
        </w:rPr>
        <w:t>预算金额：</w:t>
      </w:r>
      <w:bookmarkStart w:id="6" w:name="_Hlk120016405"/>
      <w:r>
        <w:rPr>
          <w:rFonts w:hint="eastAsia" w:ascii="宋体" w:hAnsi="宋体"/>
          <w:szCs w:val="21"/>
        </w:rPr>
        <w:t>人民币3,627,967.31</w:t>
      </w:r>
      <w:r>
        <w:rPr>
          <w:rFonts w:ascii="宋体" w:hAnsi="宋体"/>
          <w:szCs w:val="21"/>
        </w:rPr>
        <w:t>元</w:t>
      </w:r>
      <w:bookmarkEnd w:id="6"/>
      <w:bookmarkStart w:id="7" w:name="_Hlk70530579"/>
      <w:bookmarkStart w:id="8" w:name="_Hlk104155903"/>
      <w:r>
        <w:rPr>
          <w:rFonts w:hint="eastAsia" w:ascii="宋体" w:hAnsi="宋体"/>
          <w:szCs w:val="21"/>
        </w:rPr>
        <w:t>（其中暂估价¥0.00、暂列金额¥0.00、绿色施工安全防护措施费¥118,464.69）</w:t>
      </w:r>
    </w:p>
    <w:p>
      <w:pPr>
        <w:ind w:firstLine="386" w:firstLineChars="200"/>
        <w:rPr>
          <w:rFonts w:ascii="宋体" w:hAnsi="宋体"/>
          <w:szCs w:val="21"/>
        </w:rPr>
      </w:pPr>
      <w:r>
        <w:rPr>
          <w:rFonts w:hint="eastAsia" w:ascii="宋体" w:hAnsi="宋体"/>
          <w:szCs w:val="21"/>
        </w:rPr>
        <w:t>最高限价（如有）：人民币3,627,967.31</w:t>
      </w:r>
      <w:r>
        <w:rPr>
          <w:rFonts w:ascii="宋体" w:hAnsi="宋体"/>
          <w:szCs w:val="21"/>
        </w:rPr>
        <w:t>元</w:t>
      </w:r>
      <w:r>
        <w:rPr>
          <w:rFonts w:hint="eastAsia" w:ascii="宋体" w:hAnsi="宋体"/>
          <w:szCs w:val="21"/>
        </w:rPr>
        <w:t>（其中暂估价¥0.00、暂列金额¥0.00、绿色施工安全防护措施费¥118,464.69）</w:t>
      </w:r>
    </w:p>
    <w:p>
      <w:pPr>
        <w:ind w:firstLine="386" w:firstLineChars="200"/>
        <w:rPr>
          <w:rFonts w:ascii="宋体" w:hAnsi="宋体"/>
          <w:szCs w:val="21"/>
        </w:rPr>
      </w:pPr>
      <w:r>
        <w:rPr>
          <w:rFonts w:hint="eastAsia" w:ascii="宋体" w:hAnsi="宋体"/>
          <w:szCs w:val="21"/>
        </w:rPr>
        <w:t>采购需求</w:t>
      </w:r>
      <w:bookmarkEnd w:id="7"/>
      <w:r>
        <w:rPr>
          <w:rFonts w:hint="eastAsia" w:ascii="宋体" w:hAnsi="宋体"/>
          <w:szCs w:val="21"/>
        </w:rPr>
        <w:t>：</w:t>
      </w:r>
    </w:p>
    <w:p>
      <w:pPr>
        <w:pStyle w:val="48"/>
        <w:spacing w:after="0" w:line="360" w:lineRule="auto"/>
        <w:ind w:left="0" w:leftChars="0" w:firstLine="385"/>
        <w:rPr>
          <w:rFonts w:ascii="宋体" w:hAnsi="宋体"/>
        </w:rPr>
      </w:pPr>
      <w:r>
        <w:rPr>
          <w:rFonts w:hint="eastAsia" w:ascii="宋体" w:hAnsi="宋体"/>
        </w:rPr>
        <w:t>1</w:t>
      </w:r>
      <w:r>
        <w:rPr>
          <w:rFonts w:ascii="宋体" w:hAnsi="宋体"/>
        </w:rPr>
        <w:t>.</w:t>
      </w:r>
      <w:r>
        <w:rPr>
          <w:rFonts w:hint="eastAsia" w:ascii="宋体" w:hAnsi="宋体"/>
        </w:rPr>
        <w:t>标的名称：</w:t>
      </w:r>
      <w:r>
        <w:rPr>
          <w:rFonts w:hint="eastAsia" w:ascii="宋体" w:hAnsi="宋体"/>
          <w:szCs w:val="28"/>
        </w:rPr>
        <w:t>武警茂名支队机动中队综合智慧训练场建设项目（一期）</w:t>
      </w:r>
    </w:p>
    <w:p>
      <w:pPr>
        <w:pStyle w:val="48"/>
        <w:spacing w:after="0" w:line="360" w:lineRule="auto"/>
        <w:ind w:left="0" w:leftChars="0" w:firstLine="385"/>
        <w:rPr>
          <w:rFonts w:ascii="宋体" w:hAnsi="宋体"/>
        </w:rPr>
      </w:pPr>
      <w:r>
        <w:rPr>
          <w:rFonts w:hint="eastAsia" w:ascii="宋体" w:hAnsi="宋体"/>
        </w:rPr>
        <w:t>2</w:t>
      </w:r>
      <w:r>
        <w:rPr>
          <w:rFonts w:ascii="宋体" w:hAnsi="宋体"/>
        </w:rPr>
        <w:t>.</w:t>
      </w:r>
      <w:r>
        <w:rPr>
          <w:rFonts w:hint="eastAsia" w:ascii="宋体" w:hAnsi="宋体"/>
        </w:rPr>
        <w:t>标的数量：1项</w:t>
      </w:r>
    </w:p>
    <w:p>
      <w:pPr>
        <w:pStyle w:val="48"/>
        <w:spacing w:after="0" w:line="360" w:lineRule="auto"/>
        <w:ind w:left="0" w:leftChars="0" w:firstLine="385"/>
        <w:rPr>
          <w:rFonts w:ascii="宋体" w:hAnsi="宋体"/>
        </w:rPr>
      </w:pPr>
      <w:r>
        <w:rPr>
          <w:rFonts w:hint="eastAsia" w:ascii="宋体" w:hAnsi="宋体"/>
        </w:rPr>
        <w:t>3</w:t>
      </w:r>
      <w:r>
        <w:rPr>
          <w:rFonts w:ascii="宋体" w:hAnsi="宋体"/>
        </w:rPr>
        <w:t>.</w:t>
      </w:r>
      <w:r>
        <w:rPr>
          <w:rFonts w:hint="eastAsia" w:ascii="宋体" w:hAnsi="宋体"/>
        </w:rPr>
        <w:t>简要技术需求或服务要求：详细要求见采购需求。</w:t>
      </w:r>
    </w:p>
    <w:bookmarkEnd w:id="8"/>
    <w:p>
      <w:pPr>
        <w:ind w:firstLine="386" w:firstLineChars="200"/>
        <w:rPr>
          <w:rFonts w:ascii="宋体" w:hAnsi="宋体"/>
          <w:szCs w:val="21"/>
        </w:rPr>
      </w:pPr>
      <w:r>
        <w:rPr>
          <w:rFonts w:hint="eastAsia" w:ascii="宋体" w:hAnsi="宋体"/>
          <w:szCs w:val="21"/>
        </w:rPr>
        <w:t>合同履行期限：自合同签订之日起至自合同义务履行完毕为止</w:t>
      </w:r>
      <w:r>
        <w:rPr>
          <w:rFonts w:ascii="宋体" w:hAnsi="宋体"/>
          <w:szCs w:val="21"/>
        </w:rPr>
        <w:t>。</w:t>
      </w:r>
    </w:p>
    <w:p>
      <w:pPr>
        <w:ind w:firstLine="386" w:firstLineChars="200"/>
        <w:rPr>
          <w:rFonts w:ascii="宋体" w:hAnsi="宋体"/>
          <w:szCs w:val="21"/>
        </w:rPr>
      </w:pPr>
      <w:r>
        <w:rPr>
          <w:rFonts w:hint="eastAsia" w:ascii="宋体" w:hAnsi="宋体"/>
          <w:szCs w:val="21"/>
        </w:rPr>
        <w:t>本合同包不接受联合体响应。</w:t>
      </w:r>
    </w:p>
    <w:p>
      <w:pPr>
        <w:pStyle w:val="47"/>
        <w:ind w:firstLine="192"/>
      </w:pPr>
    </w:p>
    <w:p>
      <w:pPr>
        <w:pStyle w:val="5"/>
        <w:numPr>
          <w:ilvl w:val="0"/>
          <w:numId w:val="4"/>
        </w:numPr>
        <w:rPr>
          <w:rFonts w:ascii="宋体" w:hAnsi="宋体"/>
        </w:rPr>
      </w:pPr>
      <w:bookmarkStart w:id="9" w:name="_Toc104040678"/>
      <w:r>
        <w:rPr>
          <w:rFonts w:hint="eastAsia" w:ascii="宋体" w:hAnsi="宋体"/>
        </w:rPr>
        <w:t>申请人的资格要求</w:t>
      </w:r>
      <w:bookmarkEnd w:id="9"/>
    </w:p>
    <w:p>
      <w:pPr>
        <w:ind w:firstLine="386" w:firstLineChars="200"/>
        <w:rPr>
          <w:rFonts w:ascii="宋体" w:hAnsi="宋体"/>
          <w:szCs w:val="21"/>
        </w:rPr>
      </w:pPr>
      <w:bookmarkStart w:id="10" w:name="_Toc104040679"/>
      <w:r>
        <w:rPr>
          <w:rFonts w:ascii="宋体" w:hAnsi="宋体"/>
          <w:szCs w:val="21"/>
        </w:rPr>
        <w:t>1.供应商应具备《政府采购法》第二十二条规定的条件，提供下列材料：</w:t>
      </w:r>
    </w:p>
    <w:p>
      <w:pPr>
        <w:ind w:firstLine="386" w:firstLineChars="200"/>
        <w:rPr>
          <w:rFonts w:ascii="宋体" w:hAnsi="宋体"/>
          <w:szCs w:val="21"/>
        </w:rPr>
      </w:pPr>
      <w:r>
        <w:rPr>
          <w:rFonts w:hint="eastAsia" w:ascii="宋体" w:hAnsi="宋体"/>
          <w:szCs w:val="21"/>
        </w:rPr>
        <w:t>（</w:t>
      </w:r>
      <w:r>
        <w:rPr>
          <w:rFonts w:ascii="宋体" w:hAnsi="宋体"/>
          <w:szCs w:val="21"/>
        </w:rPr>
        <w:t>1）具有独立承担民事责任的能力：</w:t>
      </w:r>
      <w:r>
        <w:rPr>
          <w:rFonts w:hint="eastAsia" w:ascii="宋体" w:hAnsi="宋体"/>
          <w:szCs w:val="21"/>
        </w:rPr>
        <w:t>在中华人民共和国境内注册的法人或其他组织或自然人，投标（响应）时提交有效的营业执照（或事业法人登记证或身份证等相关证明）复印件。分支机构投标的，须提供总公司和分公司营业执照复印件，总公司出具给分支机构的授权书。</w:t>
      </w:r>
    </w:p>
    <w:p>
      <w:pPr>
        <w:ind w:firstLine="386" w:firstLineChars="200"/>
        <w:rPr>
          <w:rFonts w:ascii="宋体" w:hAnsi="宋体"/>
          <w:szCs w:val="21"/>
        </w:rPr>
      </w:pPr>
      <w:r>
        <w:rPr>
          <w:rFonts w:hint="eastAsia" w:ascii="宋体" w:hAnsi="宋体"/>
          <w:szCs w:val="21"/>
        </w:rPr>
        <w:t>（</w:t>
      </w:r>
      <w:r>
        <w:rPr>
          <w:rFonts w:ascii="宋体" w:hAnsi="宋体"/>
          <w:szCs w:val="21"/>
        </w:rPr>
        <w:t>2）有依法缴纳税收和社会保障资金的良好记录：提供《关于资格的声明函》。</w:t>
      </w:r>
    </w:p>
    <w:p>
      <w:pPr>
        <w:ind w:firstLine="386" w:firstLineChars="200"/>
        <w:rPr>
          <w:rFonts w:ascii="宋体" w:hAnsi="宋体"/>
          <w:szCs w:val="21"/>
        </w:rPr>
      </w:pPr>
      <w:r>
        <w:rPr>
          <w:rFonts w:hint="eastAsia" w:ascii="宋体" w:hAnsi="宋体"/>
          <w:szCs w:val="21"/>
        </w:rPr>
        <w:t>（</w:t>
      </w:r>
      <w:r>
        <w:rPr>
          <w:rFonts w:ascii="宋体" w:hAnsi="宋体"/>
          <w:szCs w:val="21"/>
        </w:rPr>
        <w:t>3）具有良好的商业信誉和健全的财务会计制度：提供《关于资格的声明函》。</w:t>
      </w:r>
    </w:p>
    <w:p>
      <w:pPr>
        <w:ind w:firstLine="386" w:firstLineChars="200"/>
        <w:rPr>
          <w:rFonts w:ascii="宋体" w:hAnsi="宋体"/>
          <w:szCs w:val="21"/>
        </w:rPr>
      </w:pPr>
      <w:r>
        <w:rPr>
          <w:rFonts w:hint="eastAsia" w:ascii="宋体" w:hAnsi="宋体"/>
          <w:szCs w:val="21"/>
        </w:rPr>
        <w:t>（</w:t>
      </w:r>
      <w:r>
        <w:rPr>
          <w:rFonts w:ascii="宋体" w:hAnsi="宋体"/>
          <w:szCs w:val="21"/>
        </w:rPr>
        <w:t>4）履行合同所必需的设备和专业技术能力：提供《关于资格的声明函》。</w:t>
      </w:r>
    </w:p>
    <w:p>
      <w:pPr>
        <w:keepNext w:val="0"/>
        <w:keepLines w:val="0"/>
        <w:pageBreakBefore w:val="0"/>
        <w:widowControl w:val="0"/>
        <w:kinsoku/>
        <w:wordWrap/>
        <w:overflowPunct/>
        <w:topLinePunct w:val="0"/>
        <w:autoSpaceDE/>
        <w:autoSpaceDN/>
        <w:bidi w:val="0"/>
        <w:adjustRightInd/>
        <w:snapToGrid/>
        <w:ind w:firstLine="386" w:firstLineChars="200"/>
        <w:textAlignment w:val="auto"/>
        <w:rPr>
          <w:rFonts w:ascii="宋体" w:hAnsi="宋体"/>
          <w:szCs w:val="21"/>
        </w:rPr>
      </w:pPr>
      <w:r>
        <w:rPr>
          <w:rFonts w:hint="eastAsia" w:ascii="宋体" w:hAnsi="宋体"/>
          <w:szCs w:val="21"/>
        </w:rPr>
        <w:t>（</w:t>
      </w:r>
      <w:r>
        <w:rPr>
          <w:rFonts w:ascii="宋体" w:hAnsi="宋体"/>
          <w:szCs w:val="21"/>
        </w:rPr>
        <w:t>5）参加采购活动前3年内，在经营活动中没有重大违法记录：提供《关于资格的声明函》。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keepNext w:val="0"/>
        <w:keepLines w:val="0"/>
        <w:pageBreakBefore w:val="0"/>
        <w:widowControl w:val="0"/>
        <w:kinsoku/>
        <w:wordWrap/>
        <w:overflowPunct/>
        <w:topLinePunct w:val="0"/>
        <w:autoSpaceDE/>
        <w:autoSpaceDN/>
        <w:bidi w:val="0"/>
        <w:adjustRightInd/>
        <w:snapToGrid/>
        <w:ind w:firstLine="386" w:firstLineChars="200"/>
        <w:textAlignment w:val="auto"/>
        <w:rPr>
          <w:rFonts w:ascii="宋体" w:hAnsi="宋体"/>
          <w:szCs w:val="21"/>
        </w:rPr>
      </w:pPr>
      <w:r>
        <w:rPr>
          <w:rFonts w:hint="eastAsia" w:ascii="宋体" w:hAnsi="宋体"/>
          <w:szCs w:val="21"/>
        </w:rPr>
        <w:t>（6）法律、行政法规规定的其他条件：</w:t>
      </w:r>
      <w:r>
        <w:rPr>
          <w:rFonts w:ascii="宋体" w:hAnsi="宋体"/>
          <w:szCs w:val="21"/>
        </w:rPr>
        <w:t>单位负责人为同一人或者存在直接控股、管理关系的不同供应商，不得同时参加本采购项目（</w:t>
      </w:r>
      <w:r>
        <w:rPr>
          <w:rFonts w:hint="eastAsia" w:ascii="宋体" w:hAnsi="宋体"/>
          <w:szCs w:val="21"/>
        </w:rPr>
        <w:t>或采购包</w:t>
      </w:r>
      <w:r>
        <w:rPr>
          <w:rFonts w:ascii="宋体" w:hAnsi="宋体"/>
          <w:szCs w:val="21"/>
        </w:rPr>
        <w:t>）投标（响应）。为本项目提供整体设计、规范编制或者项目管理、监理、检测等服务的供应商，不得再参与本项目投标（响应）。提供《关于资格的声明函》。</w:t>
      </w:r>
    </w:p>
    <w:p>
      <w:pPr>
        <w:keepNext w:val="0"/>
        <w:keepLines w:val="0"/>
        <w:pageBreakBefore w:val="0"/>
        <w:widowControl w:val="0"/>
        <w:kinsoku/>
        <w:wordWrap/>
        <w:overflowPunct/>
        <w:topLinePunct w:val="0"/>
        <w:autoSpaceDE/>
        <w:autoSpaceDN/>
        <w:bidi w:val="0"/>
        <w:adjustRightInd/>
        <w:snapToGrid/>
        <w:ind w:firstLine="386" w:firstLineChars="200"/>
        <w:textAlignment w:val="auto"/>
        <w:rPr>
          <w:rFonts w:ascii="宋体" w:hAnsi="宋体"/>
          <w:szCs w:val="21"/>
        </w:rPr>
      </w:pPr>
      <w:r>
        <w:rPr>
          <w:rFonts w:ascii="宋体" w:hAnsi="宋体"/>
          <w:szCs w:val="21"/>
        </w:rPr>
        <w:t>2.供应商未被列入“信用中国”网站（www.creditchina.gov.cn）以下任意名单之一：①失信被执行人名单；②重大税收违法失信主体；③政府采购严重违法失信</w:t>
      </w:r>
      <w:r>
        <w:rPr>
          <w:rFonts w:hint="eastAsia" w:ascii="宋体" w:hAnsi="宋体"/>
          <w:szCs w:val="21"/>
        </w:rPr>
        <w:t>行为记录</w:t>
      </w:r>
      <w:r>
        <w:rPr>
          <w:rFonts w:ascii="宋体" w:hAnsi="宋体"/>
          <w:szCs w:val="21"/>
        </w:rPr>
        <w:t>名单。同时，不处于中国政府采购网（www.ccgp.gov.cn）“政府采购严重违法失信行为信息记录”中的禁止参加政府采购活动期间。（以采购代理机构于响应文件提交截止时间当天在上述网站查询结果为准，如在上述网站查询结果均显示没有相关记录，视为没有上述不良信用记录；如相关失信记录已失效，供应商须提供相关证明资</w:t>
      </w:r>
      <w:r>
        <w:rPr>
          <w:rFonts w:hint="eastAsia" w:ascii="宋体" w:hAnsi="宋体"/>
          <w:szCs w:val="21"/>
        </w:rPr>
        <w:t>料。）</w:t>
      </w:r>
    </w:p>
    <w:p>
      <w:pPr>
        <w:ind w:firstLine="386" w:firstLineChars="200"/>
        <w:rPr>
          <w:rFonts w:ascii="宋体" w:hAnsi="宋体"/>
          <w:szCs w:val="21"/>
        </w:rPr>
      </w:pPr>
      <w:r>
        <w:rPr>
          <w:rFonts w:hint="eastAsia" w:ascii="宋体" w:hAnsi="宋体"/>
          <w:szCs w:val="21"/>
        </w:rPr>
        <w:t>3.供应商具有（1）有效期内的建筑工程施工总承包三级（或以上）企业资质（提供证书复印件）；（2）有效期内的安全生产许可证（提供证书复印件）。</w:t>
      </w:r>
    </w:p>
    <w:p>
      <w:pPr>
        <w:ind w:firstLine="386" w:firstLineChars="200"/>
        <w:rPr>
          <w:rFonts w:ascii="宋体" w:hAnsi="宋体"/>
          <w:szCs w:val="21"/>
        </w:rPr>
      </w:pPr>
      <w:r>
        <w:rPr>
          <w:rFonts w:hint="eastAsia" w:ascii="宋体" w:hAnsi="宋体"/>
          <w:szCs w:val="21"/>
        </w:rPr>
        <w:t>4.拟委派项目经理须具备（1）二级建造师（建筑工程专业）或以上资格（提供相关证书复印件）；（2）有效期内的安全生产考核合格证（B证）或能够提供省建筑施工企业管理人员安全生产考核信息系统安全生产管理人员证书信息的网页截图（提供证书复印件或网页截图）；（3）没有在其他在建项目中担任项目负责人（提供书面声明函）。</w:t>
      </w:r>
    </w:p>
    <w:p>
      <w:pPr>
        <w:ind w:firstLine="386" w:firstLineChars="200"/>
        <w:rPr>
          <w:rFonts w:ascii="宋体" w:hAnsi="宋体"/>
          <w:szCs w:val="21"/>
        </w:rPr>
      </w:pPr>
      <w:r>
        <w:rPr>
          <w:rFonts w:hint="eastAsia" w:ascii="宋体" w:hAnsi="宋体"/>
          <w:szCs w:val="21"/>
        </w:rPr>
        <w:t>5.本项目不接受联合体投标，不允许转包</w:t>
      </w:r>
      <w:r>
        <w:rPr>
          <w:rFonts w:ascii="宋体" w:hAnsi="宋体"/>
          <w:szCs w:val="21"/>
        </w:rPr>
        <w:t>（提供承诺函）。</w:t>
      </w:r>
    </w:p>
    <w:p>
      <w:pPr>
        <w:pStyle w:val="47"/>
        <w:ind w:firstLine="192"/>
      </w:pPr>
    </w:p>
    <w:p>
      <w:pPr>
        <w:pStyle w:val="5"/>
        <w:numPr>
          <w:ilvl w:val="0"/>
          <w:numId w:val="4"/>
        </w:numPr>
        <w:rPr>
          <w:rFonts w:ascii="宋体" w:hAnsi="宋体"/>
        </w:rPr>
      </w:pPr>
      <w:r>
        <w:rPr>
          <w:rFonts w:hint="eastAsia" w:ascii="宋体" w:hAnsi="宋体"/>
        </w:rPr>
        <w:t>获取采购文件</w:t>
      </w:r>
      <w:bookmarkEnd w:id="10"/>
    </w:p>
    <w:p>
      <w:pPr>
        <w:ind w:firstLine="386" w:firstLineChars="200"/>
        <w:rPr>
          <w:rFonts w:ascii="宋体" w:hAnsi="宋体"/>
          <w:color w:val="000000" w:themeColor="text1"/>
          <w:szCs w:val="21"/>
          <w:u w:val="single"/>
        </w:rPr>
      </w:pPr>
      <w:r>
        <w:rPr>
          <w:rFonts w:hint="eastAsia" w:ascii="宋体" w:hAnsi="宋体"/>
          <w:color w:val="000000" w:themeColor="text1"/>
          <w:szCs w:val="21"/>
        </w:rPr>
        <w:t>符合资格的供应商应当在</w:t>
      </w:r>
      <w:r>
        <w:rPr>
          <w:rFonts w:hint="eastAsia" w:ascii="宋体" w:hAnsi="宋体"/>
          <w:b/>
          <w:bCs/>
          <w:color w:val="000000" w:themeColor="text1"/>
          <w:szCs w:val="21"/>
        </w:rPr>
        <w:t>2024年01月22日</w:t>
      </w:r>
      <w:bookmarkStart w:id="685" w:name="_GoBack"/>
      <w:bookmarkEnd w:id="685"/>
      <w:r>
        <w:rPr>
          <w:rFonts w:hint="eastAsia" w:ascii="宋体" w:hAnsi="宋体"/>
          <w:b/>
          <w:bCs/>
          <w:color w:val="000000" w:themeColor="text1"/>
          <w:szCs w:val="21"/>
        </w:rPr>
        <w:t>起至2024年01月26日</w:t>
      </w:r>
      <w:r>
        <w:rPr>
          <w:rFonts w:hint="eastAsia" w:ascii="宋体" w:hAnsi="宋体"/>
          <w:color w:val="000000" w:themeColor="text1"/>
          <w:szCs w:val="21"/>
        </w:rPr>
        <w:t>期间（办公时间内：上午9:00</w:t>
      </w:r>
      <w:r>
        <w:rPr>
          <w:rFonts w:hint="eastAsia" w:ascii="宋体" w:hAnsi="宋体"/>
          <w:szCs w:val="21"/>
        </w:rPr>
        <w:t>至12:00，下午14:30至17:30，法定节假日除外）到广东达禾工程管理有限公司现场或邮件获取磋商文件，每套售价0元（人民币）</w:t>
      </w:r>
      <w:bookmarkStart w:id="11" w:name="_Toc104040680"/>
      <w:bookmarkStart w:id="12" w:name="_Hlk114001339"/>
      <w:r>
        <w:rPr>
          <w:rFonts w:hint="eastAsia" w:ascii="宋体" w:hAnsi="宋体"/>
          <w:szCs w:val="21"/>
        </w:rPr>
        <w:t>。</w:t>
      </w:r>
      <w:r>
        <w:rPr>
          <w:rFonts w:hint="eastAsia" w:ascii="宋体" w:hAnsi="宋体"/>
          <w:szCs w:val="21"/>
          <w:u w:val="single"/>
        </w:rPr>
        <w:t>报名时下载采购文件报名发售表，填好与营业执照副本、税务登记证、组织机构代码证（或者三证合一的营业执照或事业单位法人证书）复印件加盖公章现场递交或扫描回复至gddhzb@163.com。</w:t>
      </w:r>
    </w:p>
    <w:p>
      <w:pPr>
        <w:pStyle w:val="47"/>
        <w:widowControl w:val="0"/>
        <w:spacing w:after="0" w:line="360" w:lineRule="auto"/>
        <w:ind w:firstLine="386" w:firstLineChars="200"/>
        <w:rPr>
          <w:color w:val="000000" w:themeColor="text1"/>
          <w:szCs w:val="21"/>
        </w:rPr>
      </w:pPr>
      <w:r>
        <w:rPr>
          <w:rFonts w:hint="eastAsia"/>
          <w:color w:val="000000" w:themeColor="text1"/>
          <w:szCs w:val="21"/>
        </w:rPr>
        <w:t>注：采购代理机构对响应供应商提交的证件资料的核对，不代表其资格的确认。响应供应商的资格最终以评标委员会根据其响应文件中的相关资料作出的评审结论为准。</w:t>
      </w:r>
    </w:p>
    <w:p>
      <w:pPr>
        <w:pStyle w:val="47"/>
        <w:widowControl w:val="0"/>
        <w:ind w:firstLine="192"/>
      </w:pPr>
    </w:p>
    <w:p>
      <w:pPr>
        <w:pStyle w:val="5"/>
        <w:widowControl w:val="0"/>
        <w:numPr>
          <w:ilvl w:val="0"/>
          <w:numId w:val="4"/>
        </w:numPr>
        <w:rPr>
          <w:rFonts w:ascii="宋体" w:hAnsi="宋体"/>
          <w:color w:val="000000" w:themeColor="text1"/>
        </w:rPr>
      </w:pPr>
      <w:r>
        <w:rPr>
          <w:rFonts w:hint="eastAsia" w:ascii="宋体" w:hAnsi="宋体"/>
          <w:color w:val="000000" w:themeColor="text1"/>
        </w:rPr>
        <w:t>响应文件提交</w:t>
      </w:r>
      <w:bookmarkEnd w:id="11"/>
    </w:p>
    <w:bookmarkEnd w:id="12"/>
    <w:p>
      <w:pPr>
        <w:widowControl w:val="0"/>
        <w:ind w:firstLine="480"/>
        <w:rPr>
          <w:rFonts w:ascii="宋体" w:hAnsi="宋体"/>
          <w:color w:val="000000" w:themeColor="text1"/>
          <w:kern w:val="28"/>
          <w:szCs w:val="21"/>
        </w:rPr>
      </w:pPr>
      <w:r>
        <w:rPr>
          <w:rFonts w:hint="eastAsia" w:ascii="宋体" w:hAnsi="宋体"/>
          <w:color w:val="000000" w:themeColor="text1"/>
          <w:kern w:val="28"/>
          <w:szCs w:val="21"/>
        </w:rPr>
        <w:t>截止时间：</w:t>
      </w:r>
      <w:r>
        <w:rPr>
          <w:rFonts w:ascii="宋体" w:hAnsi="宋体"/>
          <w:b/>
          <w:bCs/>
          <w:color w:val="000000" w:themeColor="text1"/>
          <w:kern w:val="28"/>
          <w:szCs w:val="21"/>
        </w:rPr>
        <w:t>202</w:t>
      </w:r>
      <w:r>
        <w:rPr>
          <w:rFonts w:hint="eastAsia" w:ascii="宋体" w:hAnsi="宋体"/>
          <w:b/>
          <w:bCs/>
          <w:color w:val="000000" w:themeColor="text1"/>
          <w:kern w:val="28"/>
          <w:szCs w:val="21"/>
        </w:rPr>
        <w:t>4</w:t>
      </w:r>
      <w:r>
        <w:rPr>
          <w:rFonts w:ascii="宋体" w:hAnsi="宋体"/>
          <w:b/>
          <w:bCs/>
          <w:color w:val="000000" w:themeColor="text1"/>
          <w:kern w:val="28"/>
          <w:szCs w:val="21"/>
        </w:rPr>
        <w:t>年</w:t>
      </w:r>
      <w:r>
        <w:rPr>
          <w:rFonts w:hint="eastAsia" w:ascii="宋体" w:hAnsi="宋体"/>
          <w:b/>
          <w:bCs/>
          <w:color w:val="000000" w:themeColor="text1"/>
          <w:kern w:val="28"/>
          <w:szCs w:val="21"/>
        </w:rPr>
        <w:t>01</w:t>
      </w:r>
      <w:r>
        <w:rPr>
          <w:rFonts w:ascii="宋体" w:hAnsi="宋体"/>
          <w:b/>
          <w:bCs/>
          <w:color w:val="000000" w:themeColor="text1"/>
          <w:kern w:val="28"/>
          <w:szCs w:val="21"/>
        </w:rPr>
        <w:t>月</w:t>
      </w:r>
      <w:r>
        <w:rPr>
          <w:rFonts w:hint="eastAsia" w:ascii="宋体" w:hAnsi="宋体"/>
          <w:b/>
          <w:bCs/>
          <w:color w:val="000000" w:themeColor="text1"/>
          <w:szCs w:val="21"/>
        </w:rPr>
        <w:t>30</w:t>
      </w:r>
      <w:r>
        <w:rPr>
          <w:rFonts w:ascii="宋体" w:hAnsi="宋体"/>
          <w:b/>
          <w:bCs/>
          <w:color w:val="000000" w:themeColor="text1"/>
          <w:kern w:val="28"/>
          <w:szCs w:val="21"/>
        </w:rPr>
        <w:t>日</w:t>
      </w:r>
      <w:r>
        <w:rPr>
          <w:rFonts w:hint="eastAsia" w:ascii="宋体" w:hAnsi="宋体"/>
          <w:b/>
          <w:bCs/>
          <w:color w:val="000000" w:themeColor="text1"/>
          <w:kern w:val="28"/>
          <w:szCs w:val="21"/>
        </w:rPr>
        <w:t>09</w:t>
      </w:r>
      <w:r>
        <w:rPr>
          <w:rFonts w:ascii="宋体" w:hAnsi="宋体"/>
          <w:b/>
          <w:bCs/>
          <w:color w:val="000000" w:themeColor="text1"/>
          <w:kern w:val="28"/>
          <w:szCs w:val="21"/>
        </w:rPr>
        <w:t>时</w:t>
      </w:r>
      <w:r>
        <w:rPr>
          <w:rFonts w:hint="eastAsia" w:ascii="宋体" w:hAnsi="宋体"/>
          <w:b/>
          <w:bCs/>
          <w:color w:val="000000" w:themeColor="text1"/>
          <w:kern w:val="28"/>
          <w:szCs w:val="21"/>
        </w:rPr>
        <w:t>30</w:t>
      </w:r>
      <w:r>
        <w:rPr>
          <w:rFonts w:ascii="宋体" w:hAnsi="宋体"/>
          <w:b/>
          <w:bCs/>
          <w:color w:val="000000" w:themeColor="text1"/>
          <w:kern w:val="28"/>
          <w:szCs w:val="21"/>
        </w:rPr>
        <w:t>分00秒</w:t>
      </w:r>
      <w:r>
        <w:rPr>
          <w:rFonts w:ascii="宋体" w:hAnsi="宋体"/>
          <w:color w:val="000000" w:themeColor="text1"/>
          <w:kern w:val="28"/>
          <w:szCs w:val="21"/>
        </w:rPr>
        <w:t>（北京时间）</w:t>
      </w:r>
      <w:r>
        <w:rPr>
          <w:rFonts w:hint="eastAsia" w:ascii="宋体" w:hAnsi="宋体"/>
          <w:color w:val="000000" w:themeColor="text1"/>
          <w:kern w:val="28"/>
          <w:szCs w:val="21"/>
        </w:rPr>
        <w:t>(注：0</w:t>
      </w:r>
      <w:r>
        <w:rPr>
          <w:rFonts w:ascii="宋体" w:hAnsi="宋体"/>
          <w:color w:val="000000" w:themeColor="text1"/>
          <w:kern w:val="28"/>
          <w:szCs w:val="21"/>
        </w:rPr>
        <w:t>9</w:t>
      </w:r>
      <w:r>
        <w:rPr>
          <w:rFonts w:hint="eastAsia" w:ascii="宋体" w:hAnsi="宋体"/>
          <w:color w:val="000000" w:themeColor="text1"/>
          <w:kern w:val="28"/>
          <w:szCs w:val="21"/>
        </w:rPr>
        <w:t>时00分开始受理响应文件)</w:t>
      </w:r>
    </w:p>
    <w:p>
      <w:pPr>
        <w:widowControl w:val="0"/>
        <w:ind w:firstLine="480"/>
        <w:rPr>
          <w:rFonts w:ascii="宋体" w:hAnsi="宋体"/>
          <w:color w:val="000000" w:themeColor="text1"/>
          <w:kern w:val="28"/>
          <w:szCs w:val="21"/>
        </w:rPr>
      </w:pPr>
      <w:r>
        <w:rPr>
          <w:rFonts w:hint="eastAsia" w:ascii="宋体" w:hAnsi="宋体"/>
          <w:color w:val="000000" w:themeColor="text1"/>
          <w:kern w:val="28"/>
          <w:szCs w:val="21"/>
        </w:rPr>
        <w:t>地点：茂名市光华南路118号润威商厦</w:t>
      </w:r>
      <w:r>
        <w:rPr>
          <w:rFonts w:ascii="宋体" w:hAnsi="宋体"/>
          <w:color w:val="000000" w:themeColor="text1"/>
          <w:kern w:val="28"/>
          <w:szCs w:val="21"/>
        </w:rPr>
        <w:t>6</w:t>
      </w:r>
      <w:r>
        <w:rPr>
          <w:rFonts w:hint="eastAsia" w:ascii="宋体" w:hAnsi="宋体"/>
          <w:color w:val="000000" w:themeColor="text1"/>
          <w:kern w:val="28"/>
          <w:szCs w:val="21"/>
        </w:rPr>
        <w:t>0</w:t>
      </w:r>
      <w:r>
        <w:rPr>
          <w:rFonts w:ascii="宋体" w:hAnsi="宋体"/>
          <w:color w:val="000000" w:themeColor="text1"/>
          <w:kern w:val="28"/>
          <w:szCs w:val="21"/>
        </w:rPr>
        <w:t>2</w:t>
      </w:r>
      <w:r>
        <w:rPr>
          <w:rFonts w:hint="eastAsia" w:ascii="宋体" w:hAnsi="宋体"/>
          <w:color w:val="000000" w:themeColor="text1"/>
          <w:kern w:val="28"/>
          <w:szCs w:val="21"/>
        </w:rPr>
        <w:t>室</w:t>
      </w:r>
      <w:r>
        <w:rPr>
          <w:rFonts w:hint="eastAsia"/>
          <w:color w:val="000000"/>
          <w:kern w:val="28"/>
          <w:szCs w:val="21"/>
        </w:rPr>
        <w:t>广东达禾工程管理有限公司开标室</w:t>
      </w:r>
    </w:p>
    <w:p>
      <w:pPr>
        <w:pStyle w:val="47"/>
        <w:widowControl w:val="0"/>
        <w:ind w:firstLine="192"/>
      </w:pPr>
    </w:p>
    <w:p>
      <w:pPr>
        <w:pStyle w:val="5"/>
        <w:widowControl w:val="0"/>
        <w:numPr>
          <w:ilvl w:val="0"/>
          <w:numId w:val="4"/>
        </w:numPr>
        <w:rPr>
          <w:rFonts w:ascii="宋体" w:hAnsi="宋体"/>
          <w:color w:val="000000" w:themeColor="text1"/>
        </w:rPr>
      </w:pPr>
      <w:bookmarkStart w:id="13" w:name="_Toc104040681"/>
      <w:r>
        <w:rPr>
          <w:rFonts w:hint="eastAsia" w:ascii="宋体" w:hAnsi="宋体"/>
          <w:color w:val="000000" w:themeColor="text1"/>
        </w:rPr>
        <w:t>开启</w:t>
      </w:r>
      <w:bookmarkEnd w:id="13"/>
    </w:p>
    <w:p>
      <w:pPr>
        <w:widowControl w:val="0"/>
        <w:ind w:firstLine="480"/>
        <w:rPr>
          <w:rFonts w:ascii="宋体" w:hAnsi="宋体"/>
          <w:color w:val="000000" w:themeColor="text1"/>
          <w:kern w:val="28"/>
          <w:szCs w:val="21"/>
        </w:rPr>
      </w:pPr>
      <w:r>
        <w:rPr>
          <w:rFonts w:hint="eastAsia" w:ascii="宋体" w:hAnsi="宋体"/>
          <w:color w:val="000000" w:themeColor="text1"/>
          <w:kern w:val="28"/>
          <w:szCs w:val="21"/>
        </w:rPr>
        <w:t>时间：</w:t>
      </w:r>
      <w:r>
        <w:rPr>
          <w:rFonts w:ascii="宋体" w:hAnsi="宋体"/>
          <w:b/>
          <w:bCs/>
          <w:color w:val="000000" w:themeColor="text1"/>
          <w:kern w:val="28"/>
          <w:szCs w:val="21"/>
        </w:rPr>
        <w:t>202</w:t>
      </w:r>
      <w:r>
        <w:rPr>
          <w:rFonts w:hint="eastAsia" w:ascii="宋体" w:hAnsi="宋体"/>
          <w:b/>
          <w:bCs/>
          <w:color w:val="000000" w:themeColor="text1"/>
          <w:kern w:val="28"/>
          <w:szCs w:val="21"/>
        </w:rPr>
        <w:t>4</w:t>
      </w:r>
      <w:r>
        <w:rPr>
          <w:rFonts w:ascii="宋体" w:hAnsi="宋体"/>
          <w:b/>
          <w:bCs/>
          <w:color w:val="000000" w:themeColor="text1"/>
          <w:kern w:val="28"/>
          <w:szCs w:val="21"/>
        </w:rPr>
        <w:t>年</w:t>
      </w:r>
      <w:r>
        <w:rPr>
          <w:rFonts w:hint="eastAsia" w:ascii="宋体" w:hAnsi="宋体"/>
          <w:b/>
          <w:bCs/>
          <w:color w:val="000000" w:themeColor="text1"/>
          <w:kern w:val="28"/>
          <w:szCs w:val="21"/>
        </w:rPr>
        <w:t>01</w:t>
      </w:r>
      <w:r>
        <w:rPr>
          <w:rFonts w:ascii="宋体" w:hAnsi="宋体"/>
          <w:b/>
          <w:bCs/>
          <w:color w:val="000000" w:themeColor="text1"/>
          <w:kern w:val="28"/>
          <w:szCs w:val="21"/>
        </w:rPr>
        <w:t>月</w:t>
      </w:r>
      <w:r>
        <w:rPr>
          <w:rFonts w:hint="eastAsia" w:ascii="宋体" w:hAnsi="宋体"/>
          <w:b/>
          <w:bCs/>
          <w:color w:val="000000" w:themeColor="text1"/>
          <w:szCs w:val="21"/>
        </w:rPr>
        <w:t>30</w:t>
      </w:r>
      <w:r>
        <w:rPr>
          <w:rFonts w:ascii="宋体" w:hAnsi="宋体"/>
          <w:b/>
          <w:bCs/>
          <w:color w:val="000000" w:themeColor="text1"/>
          <w:kern w:val="28"/>
          <w:szCs w:val="21"/>
        </w:rPr>
        <w:t>日</w:t>
      </w:r>
      <w:r>
        <w:rPr>
          <w:rFonts w:hint="eastAsia" w:ascii="宋体" w:hAnsi="宋体"/>
          <w:b/>
          <w:bCs/>
          <w:color w:val="000000" w:themeColor="text1"/>
          <w:kern w:val="28"/>
          <w:szCs w:val="21"/>
        </w:rPr>
        <w:t>09</w:t>
      </w:r>
      <w:r>
        <w:rPr>
          <w:rFonts w:ascii="宋体" w:hAnsi="宋体"/>
          <w:b/>
          <w:bCs/>
          <w:color w:val="000000" w:themeColor="text1"/>
          <w:kern w:val="28"/>
          <w:szCs w:val="21"/>
        </w:rPr>
        <w:t>时</w:t>
      </w:r>
      <w:r>
        <w:rPr>
          <w:rFonts w:hint="eastAsia" w:ascii="宋体" w:hAnsi="宋体"/>
          <w:b/>
          <w:bCs/>
          <w:color w:val="000000" w:themeColor="text1"/>
          <w:kern w:val="28"/>
          <w:szCs w:val="21"/>
        </w:rPr>
        <w:t>30</w:t>
      </w:r>
      <w:r>
        <w:rPr>
          <w:rFonts w:ascii="宋体" w:hAnsi="宋体"/>
          <w:b/>
          <w:bCs/>
          <w:color w:val="000000" w:themeColor="text1"/>
          <w:kern w:val="28"/>
          <w:szCs w:val="21"/>
        </w:rPr>
        <w:t>分00秒</w:t>
      </w:r>
      <w:r>
        <w:rPr>
          <w:rFonts w:ascii="宋体" w:hAnsi="宋体"/>
          <w:color w:val="000000" w:themeColor="text1"/>
          <w:kern w:val="28"/>
          <w:szCs w:val="21"/>
        </w:rPr>
        <w:t>（北京时间）</w:t>
      </w:r>
    </w:p>
    <w:p>
      <w:pPr>
        <w:widowControl w:val="0"/>
        <w:ind w:firstLine="480"/>
        <w:rPr>
          <w:color w:val="000000"/>
          <w:kern w:val="28"/>
          <w:szCs w:val="21"/>
        </w:rPr>
      </w:pPr>
      <w:r>
        <w:rPr>
          <w:rFonts w:hint="eastAsia" w:ascii="宋体" w:hAnsi="宋体"/>
          <w:kern w:val="28"/>
          <w:szCs w:val="21"/>
        </w:rPr>
        <w:t>地点：茂名市光华南路118号润威商厦</w:t>
      </w:r>
      <w:r>
        <w:rPr>
          <w:rFonts w:ascii="宋体" w:hAnsi="宋体"/>
          <w:kern w:val="28"/>
          <w:szCs w:val="21"/>
        </w:rPr>
        <w:t>6</w:t>
      </w:r>
      <w:r>
        <w:rPr>
          <w:rFonts w:hint="eastAsia" w:ascii="宋体" w:hAnsi="宋体"/>
          <w:kern w:val="28"/>
          <w:szCs w:val="21"/>
        </w:rPr>
        <w:t>0</w:t>
      </w:r>
      <w:r>
        <w:rPr>
          <w:rFonts w:ascii="宋体" w:hAnsi="宋体"/>
          <w:kern w:val="28"/>
          <w:szCs w:val="21"/>
        </w:rPr>
        <w:t>2</w:t>
      </w:r>
      <w:r>
        <w:rPr>
          <w:rFonts w:hint="eastAsia" w:ascii="宋体" w:hAnsi="宋体"/>
          <w:kern w:val="28"/>
          <w:szCs w:val="21"/>
        </w:rPr>
        <w:t>室</w:t>
      </w:r>
      <w:r>
        <w:rPr>
          <w:rFonts w:hint="eastAsia"/>
          <w:color w:val="000000"/>
          <w:kern w:val="28"/>
          <w:szCs w:val="21"/>
        </w:rPr>
        <w:t>广东达禾工程管理有限公司开标室</w:t>
      </w:r>
    </w:p>
    <w:p>
      <w:pPr>
        <w:pStyle w:val="2"/>
        <w:widowControl w:val="0"/>
      </w:pPr>
    </w:p>
    <w:p>
      <w:pPr>
        <w:pStyle w:val="5"/>
        <w:widowControl w:val="0"/>
        <w:numPr>
          <w:ilvl w:val="0"/>
          <w:numId w:val="4"/>
        </w:numPr>
        <w:rPr>
          <w:rFonts w:ascii="宋体" w:hAnsi="宋体"/>
        </w:rPr>
      </w:pPr>
      <w:bookmarkStart w:id="14" w:name="_Toc104040682"/>
      <w:r>
        <w:rPr>
          <w:rFonts w:hint="eastAsia" w:ascii="宋体" w:hAnsi="宋体"/>
        </w:rPr>
        <w:t>公告期限</w:t>
      </w:r>
      <w:bookmarkEnd w:id="14"/>
    </w:p>
    <w:p>
      <w:pPr>
        <w:widowControl w:val="0"/>
        <w:ind w:firstLine="480"/>
        <w:rPr>
          <w:rFonts w:ascii="宋体" w:hAnsi="宋体"/>
          <w:kern w:val="28"/>
          <w:szCs w:val="21"/>
        </w:rPr>
      </w:pPr>
      <w:r>
        <w:rPr>
          <w:rFonts w:hint="eastAsia" w:ascii="宋体" w:hAnsi="宋体"/>
          <w:kern w:val="28"/>
          <w:szCs w:val="21"/>
        </w:rPr>
        <w:t>自本公告发布之日起</w:t>
      </w:r>
      <w:r>
        <w:rPr>
          <w:rFonts w:ascii="宋体" w:hAnsi="宋体"/>
          <w:kern w:val="28"/>
          <w:szCs w:val="21"/>
        </w:rPr>
        <w:t>3个工作日。</w:t>
      </w:r>
    </w:p>
    <w:p>
      <w:pPr>
        <w:pStyle w:val="47"/>
        <w:widowControl w:val="0"/>
        <w:ind w:firstLine="192"/>
      </w:pPr>
    </w:p>
    <w:p>
      <w:pPr>
        <w:pStyle w:val="5"/>
        <w:widowControl w:val="0"/>
        <w:numPr>
          <w:ilvl w:val="0"/>
          <w:numId w:val="4"/>
        </w:numPr>
        <w:rPr>
          <w:rFonts w:ascii="宋体" w:hAnsi="宋体"/>
        </w:rPr>
      </w:pPr>
      <w:bookmarkStart w:id="15" w:name="_Toc104040683"/>
      <w:r>
        <w:rPr>
          <w:rFonts w:hint="eastAsia" w:ascii="宋体" w:hAnsi="宋体"/>
        </w:rPr>
        <w:t>其他补充事宜</w:t>
      </w:r>
      <w:bookmarkEnd w:id="15"/>
    </w:p>
    <w:p>
      <w:pPr>
        <w:widowControl w:val="0"/>
        <w:ind w:firstLine="480"/>
        <w:rPr>
          <w:rFonts w:ascii="宋体" w:hAnsi="宋体"/>
          <w:color w:val="000000" w:themeColor="text1"/>
          <w:kern w:val="28"/>
          <w:szCs w:val="21"/>
        </w:rPr>
      </w:pPr>
      <w:r>
        <w:rPr>
          <w:rFonts w:hint="eastAsia" w:ascii="宋体" w:hAnsi="宋体"/>
          <w:color w:val="000000" w:themeColor="text1"/>
          <w:kern w:val="28"/>
          <w:szCs w:val="21"/>
        </w:rPr>
        <w:t>本次采购在上述规定的时间和地点进行磋商，届时响应供应商的法定代表或其授权代表务必出席磋商会，并携带身份证原件以备查核。</w:t>
      </w:r>
    </w:p>
    <w:p>
      <w:pPr>
        <w:pStyle w:val="47"/>
        <w:widowControl w:val="0"/>
        <w:ind w:firstLine="192"/>
      </w:pPr>
    </w:p>
    <w:p>
      <w:pPr>
        <w:pStyle w:val="5"/>
        <w:widowControl w:val="0"/>
        <w:numPr>
          <w:ilvl w:val="0"/>
          <w:numId w:val="4"/>
        </w:numPr>
        <w:rPr>
          <w:rFonts w:ascii="宋体" w:hAnsi="宋体"/>
        </w:rPr>
      </w:pPr>
      <w:bookmarkStart w:id="16" w:name="_Toc104040684"/>
      <w:r>
        <w:rPr>
          <w:rFonts w:hint="eastAsia" w:ascii="宋体" w:hAnsi="宋体"/>
        </w:rPr>
        <w:t>凡对本次采购提出询问，请按以下方式联系</w:t>
      </w:r>
      <w:bookmarkEnd w:id="16"/>
    </w:p>
    <w:p>
      <w:pPr>
        <w:pStyle w:val="47"/>
        <w:widowControl w:val="0"/>
        <w:spacing w:after="0" w:line="360" w:lineRule="auto"/>
        <w:ind w:firstLine="0" w:firstLineChars="0"/>
        <w:rPr>
          <w:rFonts w:cs="宋体"/>
          <w:b/>
          <w:bCs/>
          <w:szCs w:val="21"/>
        </w:rPr>
      </w:pPr>
      <w:r>
        <w:rPr>
          <w:rFonts w:cs="宋体"/>
          <w:b/>
          <w:bCs/>
          <w:szCs w:val="21"/>
        </w:rPr>
        <w:t>1.采购人信息</w:t>
      </w:r>
    </w:p>
    <w:p>
      <w:pPr>
        <w:pStyle w:val="47"/>
        <w:widowControl w:val="0"/>
        <w:spacing w:after="0" w:line="360" w:lineRule="auto"/>
        <w:ind w:firstLine="386" w:firstLineChars="200"/>
        <w:rPr>
          <w:rFonts w:cs="宋体"/>
          <w:szCs w:val="21"/>
        </w:rPr>
      </w:pPr>
      <w:r>
        <w:rPr>
          <w:rFonts w:hint="eastAsia" w:cs="宋体"/>
          <w:szCs w:val="21"/>
        </w:rPr>
        <w:t>名</w:t>
      </w:r>
      <w:r>
        <w:rPr>
          <w:rFonts w:cs="宋体"/>
          <w:szCs w:val="21"/>
        </w:rPr>
        <w:t xml:space="preserve">    称：</w:t>
      </w:r>
      <w:r>
        <w:rPr>
          <w:rFonts w:hint="eastAsia" w:cs="宋体"/>
          <w:szCs w:val="21"/>
        </w:rPr>
        <w:t>茂名市发展集团有限公司</w:t>
      </w:r>
    </w:p>
    <w:p>
      <w:pPr>
        <w:pStyle w:val="47"/>
        <w:widowControl w:val="0"/>
        <w:spacing w:after="0" w:line="360" w:lineRule="auto"/>
        <w:ind w:firstLine="386" w:firstLineChars="200"/>
        <w:rPr>
          <w:rFonts w:cs="宋体"/>
          <w:szCs w:val="21"/>
        </w:rPr>
      </w:pPr>
      <w:r>
        <w:rPr>
          <w:rFonts w:hint="eastAsia" w:cs="宋体"/>
          <w:szCs w:val="21"/>
        </w:rPr>
        <w:t>地</w:t>
      </w:r>
      <w:r>
        <w:rPr>
          <w:rFonts w:cs="宋体"/>
          <w:szCs w:val="21"/>
        </w:rPr>
        <w:t xml:space="preserve">    址：</w:t>
      </w:r>
      <w:r>
        <w:rPr>
          <w:rFonts w:hint="eastAsia"/>
          <w:kern w:val="28"/>
          <w:szCs w:val="21"/>
        </w:rPr>
        <w:t>茂名市油城八路3号大院1号楼三楼</w:t>
      </w:r>
    </w:p>
    <w:p>
      <w:pPr>
        <w:pStyle w:val="47"/>
        <w:spacing w:after="0" w:line="360" w:lineRule="auto"/>
        <w:ind w:firstLine="386" w:firstLineChars="200"/>
        <w:rPr>
          <w:rFonts w:cs="宋体"/>
          <w:szCs w:val="21"/>
        </w:rPr>
      </w:pPr>
      <w:r>
        <w:rPr>
          <w:rFonts w:hint="eastAsia" w:cs="宋体"/>
          <w:szCs w:val="21"/>
        </w:rPr>
        <w:t>联系方式：朱工，0668-2299172</w:t>
      </w:r>
    </w:p>
    <w:p>
      <w:pPr>
        <w:pStyle w:val="47"/>
        <w:spacing w:after="0" w:line="360" w:lineRule="auto"/>
        <w:ind w:firstLine="0" w:firstLineChars="0"/>
        <w:rPr>
          <w:rFonts w:cs="宋体"/>
          <w:b/>
          <w:bCs/>
          <w:szCs w:val="21"/>
        </w:rPr>
      </w:pPr>
      <w:r>
        <w:rPr>
          <w:rFonts w:cs="宋体"/>
          <w:b/>
          <w:bCs/>
          <w:szCs w:val="21"/>
        </w:rPr>
        <w:t>2.采购代理机构信息</w:t>
      </w:r>
    </w:p>
    <w:p>
      <w:pPr>
        <w:pStyle w:val="47"/>
        <w:spacing w:after="0" w:line="360" w:lineRule="auto"/>
        <w:ind w:firstLine="386" w:firstLineChars="200"/>
        <w:rPr>
          <w:rFonts w:cs="宋体"/>
          <w:szCs w:val="21"/>
        </w:rPr>
      </w:pPr>
      <w:r>
        <w:rPr>
          <w:rFonts w:hint="eastAsia" w:cs="宋体"/>
          <w:szCs w:val="21"/>
        </w:rPr>
        <w:t>名</w:t>
      </w:r>
      <w:r>
        <w:rPr>
          <w:rFonts w:cs="宋体"/>
          <w:szCs w:val="21"/>
        </w:rPr>
        <w:t xml:space="preserve">    称：广东达禾工程管理有限公司</w:t>
      </w:r>
    </w:p>
    <w:p>
      <w:pPr>
        <w:pStyle w:val="47"/>
        <w:spacing w:after="0" w:line="360" w:lineRule="auto"/>
        <w:ind w:firstLine="386" w:firstLineChars="200"/>
        <w:rPr>
          <w:rFonts w:cs="宋体"/>
          <w:szCs w:val="21"/>
        </w:rPr>
      </w:pPr>
      <w:r>
        <w:rPr>
          <w:rFonts w:hint="eastAsia" w:cs="宋体"/>
          <w:szCs w:val="21"/>
        </w:rPr>
        <w:t>地</w:t>
      </w:r>
      <w:r>
        <w:rPr>
          <w:rFonts w:cs="宋体"/>
          <w:szCs w:val="21"/>
        </w:rPr>
        <w:t xml:space="preserve">    址：</w:t>
      </w:r>
      <w:r>
        <w:rPr>
          <w:rFonts w:hint="eastAsia"/>
          <w:kern w:val="28"/>
          <w:szCs w:val="21"/>
        </w:rPr>
        <w:t>茂名市光华南路118号润威商厦602室</w:t>
      </w:r>
    </w:p>
    <w:p>
      <w:pPr>
        <w:pStyle w:val="47"/>
        <w:spacing w:after="0" w:line="360" w:lineRule="auto"/>
        <w:ind w:firstLine="386" w:firstLineChars="200"/>
        <w:rPr>
          <w:rFonts w:cs="宋体"/>
          <w:szCs w:val="21"/>
        </w:rPr>
      </w:pPr>
      <w:r>
        <w:rPr>
          <w:rFonts w:hint="eastAsia" w:cs="宋体"/>
          <w:szCs w:val="21"/>
        </w:rPr>
        <w:t>联系方式：</w:t>
      </w:r>
      <w:r>
        <w:rPr>
          <w:rFonts w:hint="eastAsia"/>
          <w:szCs w:val="21"/>
        </w:rPr>
        <w:t>詹先生，</w:t>
      </w:r>
      <w:r>
        <w:rPr>
          <w:rFonts w:cs="宋体"/>
          <w:szCs w:val="21"/>
        </w:rPr>
        <w:t>0668-2998639</w:t>
      </w:r>
    </w:p>
    <w:p>
      <w:pPr>
        <w:pStyle w:val="47"/>
        <w:spacing w:after="0" w:line="360" w:lineRule="auto"/>
        <w:ind w:firstLine="192"/>
        <w:rPr>
          <w:szCs w:val="21"/>
        </w:rPr>
      </w:pPr>
    </w:p>
    <w:p>
      <w:pPr>
        <w:pStyle w:val="47"/>
        <w:spacing w:after="0" w:line="360" w:lineRule="auto"/>
        <w:ind w:firstLine="192"/>
        <w:rPr>
          <w:szCs w:val="21"/>
        </w:rPr>
      </w:pPr>
    </w:p>
    <w:p>
      <w:pPr>
        <w:adjustRightInd w:val="0"/>
        <w:snapToGrid w:val="0"/>
        <w:ind w:right="-51" w:firstLine="2509" w:firstLineChars="1300"/>
        <w:jc w:val="right"/>
        <w:rPr>
          <w:rFonts w:ascii="宋体" w:hAnsi="宋体"/>
          <w:bCs/>
          <w:szCs w:val="21"/>
        </w:rPr>
      </w:pPr>
      <w:r>
        <w:rPr>
          <w:rFonts w:hint="eastAsia" w:ascii="宋体" w:hAnsi="宋体"/>
          <w:bCs/>
          <w:szCs w:val="21"/>
        </w:rPr>
        <w:t>广东达禾工程管理有限公司</w:t>
      </w:r>
    </w:p>
    <w:p>
      <w:pPr>
        <w:adjustRightInd w:val="0"/>
        <w:snapToGrid w:val="0"/>
        <w:ind w:right="-51" w:firstLine="3957" w:firstLineChars="2050"/>
        <w:jc w:val="right"/>
        <w:rPr>
          <w:rFonts w:ascii="宋体" w:hAnsi="宋体"/>
        </w:rPr>
      </w:pPr>
      <w:r>
        <w:rPr>
          <w:rFonts w:hint="eastAsia" w:ascii="宋体" w:hAnsi="宋体"/>
          <w:szCs w:val="21"/>
        </w:rPr>
        <w:t>2024年01月19日</w:t>
      </w:r>
    </w:p>
    <w:bookmarkEnd w:id="5"/>
    <w:p>
      <w:pPr>
        <w:jc w:val="left"/>
        <w:rPr>
          <w:rFonts w:ascii="宋体" w:hAnsi="宋体"/>
          <w:sz w:val="28"/>
        </w:rPr>
      </w:pPr>
      <w:bookmarkStart w:id="17" w:name="_Toc35342045"/>
      <w:r>
        <w:rPr>
          <w:rFonts w:ascii="宋体" w:hAnsi="宋体"/>
        </w:rPr>
        <w:br w:type="page"/>
      </w:r>
    </w:p>
    <w:p>
      <w:pPr>
        <w:pStyle w:val="4"/>
        <w:rPr>
          <w:rFonts w:ascii="宋体" w:hAnsi="宋体"/>
        </w:rPr>
      </w:pPr>
      <w:bookmarkStart w:id="18" w:name="_Toc101122290"/>
      <w:bookmarkStart w:id="19" w:name="_Toc103216634"/>
      <w:bookmarkStart w:id="20" w:name="_Toc104040685"/>
      <w:bookmarkStart w:id="21" w:name="_Toc103033202"/>
      <w:bookmarkStart w:id="22" w:name="_Toc114516594"/>
      <w:bookmarkStart w:id="23" w:name="_Hlk103194593"/>
      <w:r>
        <w:rPr>
          <w:rFonts w:hint="eastAsia" w:ascii="宋体" w:hAnsi="宋体"/>
        </w:rPr>
        <w:t>第二章</w:t>
      </w:r>
      <w:r>
        <w:rPr>
          <w:rFonts w:hint="eastAsia" w:ascii="宋体" w:hAnsi="宋体"/>
          <w:lang w:val="en-US" w:eastAsia="zh-CN"/>
        </w:rPr>
        <w:t xml:space="preserve"> </w:t>
      </w:r>
      <w:r>
        <w:rPr>
          <w:rFonts w:hint="eastAsia" w:ascii="宋体" w:hAnsi="宋体"/>
        </w:rPr>
        <w:t>采购需求</w:t>
      </w:r>
      <w:bookmarkEnd w:id="18"/>
      <w:bookmarkEnd w:id="19"/>
      <w:bookmarkEnd w:id="20"/>
      <w:bookmarkEnd w:id="21"/>
      <w:bookmarkEnd w:id="22"/>
    </w:p>
    <w:p>
      <w:pPr>
        <w:pStyle w:val="48"/>
        <w:spacing w:after="0" w:line="360" w:lineRule="auto"/>
        <w:ind w:left="0" w:leftChars="0" w:firstLine="0" w:firstLineChars="0"/>
        <w:rPr>
          <w:rFonts w:ascii="宋体" w:hAnsi="宋体"/>
          <w:b/>
          <w:bCs/>
          <w:szCs w:val="21"/>
        </w:rPr>
      </w:pPr>
      <w:bookmarkStart w:id="24" w:name="_Hlk112005103"/>
      <w:r>
        <w:rPr>
          <w:rFonts w:hint="eastAsia" w:ascii="宋体" w:hAnsi="宋体"/>
          <w:b/>
          <w:bCs/>
          <w:szCs w:val="21"/>
        </w:rPr>
        <w:t>说明：</w:t>
      </w:r>
    </w:p>
    <w:p>
      <w:pPr>
        <w:pStyle w:val="48"/>
        <w:spacing w:after="0" w:line="360" w:lineRule="auto"/>
        <w:ind w:left="0" w:leftChars="0" w:firstLine="386"/>
        <w:rPr>
          <w:rFonts w:ascii="宋体" w:hAnsi="宋体"/>
          <w:b/>
          <w:bCs/>
          <w:szCs w:val="21"/>
        </w:rPr>
      </w:pPr>
      <w:r>
        <w:rPr>
          <w:rFonts w:ascii="宋体" w:hAnsi="宋体"/>
          <w:b/>
          <w:bCs/>
          <w:szCs w:val="21"/>
        </w:rPr>
        <w:t>1.供应商须对本项目为单位的货物</w:t>
      </w:r>
      <w:r>
        <w:rPr>
          <w:rFonts w:hint="eastAsia" w:ascii="宋体" w:hAnsi="宋体"/>
          <w:b/>
          <w:bCs/>
          <w:szCs w:val="21"/>
        </w:rPr>
        <w:t>或</w:t>
      </w:r>
      <w:r>
        <w:rPr>
          <w:rFonts w:ascii="宋体" w:hAnsi="宋体"/>
          <w:b/>
          <w:bCs/>
          <w:szCs w:val="21"/>
        </w:rPr>
        <w:t>服务进行整体响应，任何只对采购标的或服务内容其中一部分内容进行响应的，将作无效</w:t>
      </w:r>
      <w:r>
        <w:rPr>
          <w:rFonts w:hint="eastAsia" w:ascii="宋体" w:hAnsi="宋体"/>
          <w:b/>
          <w:bCs/>
          <w:szCs w:val="21"/>
        </w:rPr>
        <w:t>投标（响应）</w:t>
      </w:r>
      <w:r>
        <w:rPr>
          <w:rFonts w:ascii="宋体" w:hAnsi="宋体"/>
          <w:b/>
          <w:bCs/>
          <w:szCs w:val="21"/>
        </w:rPr>
        <w:t>处理。</w:t>
      </w:r>
    </w:p>
    <w:p>
      <w:pPr>
        <w:pStyle w:val="48"/>
        <w:spacing w:after="0" w:line="360" w:lineRule="auto"/>
        <w:ind w:left="0" w:leftChars="0" w:firstLine="386"/>
        <w:rPr>
          <w:rFonts w:ascii="宋体" w:hAnsi="宋体"/>
          <w:b/>
          <w:bCs/>
          <w:szCs w:val="21"/>
        </w:rPr>
      </w:pPr>
      <w:r>
        <w:rPr>
          <w:rFonts w:ascii="宋体" w:hAnsi="宋体"/>
          <w:b/>
          <w:bCs/>
          <w:szCs w:val="21"/>
        </w:rPr>
        <w:t>2.采购需求中标注“★”号条款为实质性条款，供应商须按要求对其进行逐条响应，当出现负偏离或未响应，将作无效</w:t>
      </w:r>
      <w:r>
        <w:rPr>
          <w:rFonts w:hint="eastAsia" w:ascii="宋体" w:hAnsi="宋体"/>
          <w:b/>
          <w:bCs/>
          <w:szCs w:val="21"/>
        </w:rPr>
        <w:t>投标（响应）</w:t>
      </w:r>
      <w:r>
        <w:rPr>
          <w:rFonts w:ascii="宋体" w:hAnsi="宋体"/>
          <w:b/>
          <w:bCs/>
          <w:szCs w:val="21"/>
        </w:rPr>
        <w:t>处理；若要求提供证明材料，还须按要求提供证明材料，否则将作无效</w:t>
      </w:r>
      <w:r>
        <w:rPr>
          <w:rFonts w:hint="eastAsia" w:ascii="宋体" w:hAnsi="宋体"/>
          <w:b/>
          <w:bCs/>
          <w:szCs w:val="21"/>
        </w:rPr>
        <w:t>投标（响应）</w:t>
      </w:r>
      <w:r>
        <w:rPr>
          <w:rFonts w:ascii="宋体" w:hAnsi="宋体"/>
          <w:b/>
          <w:bCs/>
          <w:szCs w:val="21"/>
        </w:rPr>
        <w:t>处理。</w:t>
      </w:r>
    </w:p>
    <w:p>
      <w:pPr>
        <w:pStyle w:val="48"/>
        <w:spacing w:after="0" w:line="360" w:lineRule="auto"/>
        <w:ind w:left="0" w:leftChars="0" w:firstLine="386"/>
        <w:rPr>
          <w:rFonts w:ascii="宋体" w:hAnsi="宋体"/>
          <w:szCs w:val="21"/>
        </w:rPr>
      </w:pPr>
      <w:r>
        <w:rPr>
          <w:rFonts w:ascii="宋体" w:hAnsi="宋体"/>
          <w:b/>
          <w:bCs/>
          <w:szCs w:val="21"/>
        </w:rPr>
        <w:t>3.采购需求中标注“▲”号条款为重要技术条款，供应商须按要求对其进行逐条响应，当出现负偏离或未响应，对应项将不予以计分，不会作无效</w:t>
      </w:r>
      <w:r>
        <w:rPr>
          <w:rFonts w:hint="eastAsia" w:ascii="宋体" w:hAnsi="宋体"/>
          <w:b/>
          <w:bCs/>
          <w:szCs w:val="21"/>
        </w:rPr>
        <w:t>投标（响应）</w:t>
      </w:r>
      <w:r>
        <w:rPr>
          <w:rFonts w:ascii="宋体" w:hAnsi="宋体"/>
          <w:b/>
          <w:bCs/>
          <w:szCs w:val="21"/>
        </w:rPr>
        <w:t>处理；若要求提供证明材料，还须按要求提供证明材料，否则不予计分。</w:t>
      </w:r>
    </w:p>
    <w:p>
      <w:pPr>
        <w:adjustRightInd w:val="0"/>
        <w:snapToGrid w:val="0"/>
        <w:rPr>
          <w:rFonts w:ascii="宋体" w:hAnsi="宋体"/>
          <w:szCs w:val="21"/>
        </w:rPr>
      </w:pPr>
    </w:p>
    <w:bookmarkEnd w:id="23"/>
    <w:p>
      <w:pPr>
        <w:pStyle w:val="5"/>
        <w:rPr>
          <w:rFonts w:ascii="宋体" w:hAnsi="宋体"/>
        </w:rPr>
      </w:pPr>
      <w:r>
        <w:rPr>
          <w:rFonts w:hint="eastAsia" w:ascii="宋体" w:hAnsi="宋体"/>
        </w:rPr>
        <w:t>一、</w:t>
      </w:r>
      <w:r>
        <w:rPr>
          <w:rFonts w:hint="eastAsia"/>
        </w:rPr>
        <w:t>项目概况</w:t>
      </w:r>
    </w:p>
    <w:p>
      <w:pPr>
        <w:ind w:firstLine="386" w:firstLineChars="200"/>
        <w:rPr>
          <w:rFonts w:ascii="宋体" w:hAnsi="宋体"/>
          <w:szCs w:val="21"/>
        </w:rPr>
      </w:pPr>
      <w:r>
        <w:rPr>
          <w:rFonts w:hint="eastAsia" w:ascii="宋体" w:hAnsi="宋体"/>
          <w:szCs w:val="21"/>
        </w:rPr>
        <w:t>1.项目名称：武警茂名支队机动中队综合智慧训练场建设项目（一期）</w:t>
      </w:r>
    </w:p>
    <w:p>
      <w:pPr>
        <w:ind w:firstLine="386" w:firstLineChars="200"/>
        <w:rPr>
          <w:rFonts w:ascii="宋体" w:hAnsi="宋体"/>
          <w:szCs w:val="21"/>
        </w:rPr>
      </w:pPr>
      <w:r>
        <w:rPr>
          <w:rFonts w:hint="eastAsia" w:ascii="宋体" w:hAnsi="宋体"/>
          <w:szCs w:val="21"/>
        </w:rPr>
        <w:t>2.建设地点：采购人指定地点。</w:t>
      </w:r>
    </w:p>
    <w:p>
      <w:pPr>
        <w:ind w:firstLine="386" w:firstLineChars="200"/>
        <w:rPr>
          <w:rFonts w:ascii="宋体" w:hAnsi="宋体"/>
          <w:szCs w:val="21"/>
        </w:rPr>
      </w:pPr>
      <w:r>
        <w:rPr>
          <w:rFonts w:hint="eastAsia" w:ascii="宋体" w:hAnsi="宋体"/>
          <w:szCs w:val="21"/>
        </w:rPr>
        <w:t>3.工程范围：</w:t>
      </w:r>
    </w:p>
    <w:p>
      <w:pPr>
        <w:ind w:firstLine="587" w:firstLineChars="304"/>
        <w:rPr>
          <w:rFonts w:ascii="宋体" w:hAnsi="宋体"/>
          <w:szCs w:val="21"/>
        </w:rPr>
      </w:pPr>
      <w:r>
        <w:rPr>
          <w:rFonts w:hint="eastAsia" w:ascii="宋体" w:hAnsi="宋体"/>
          <w:szCs w:val="21"/>
        </w:rPr>
        <w:t>（1）跑道、训练场的基础施工 9116.6 平方；</w:t>
      </w:r>
    </w:p>
    <w:p>
      <w:pPr>
        <w:ind w:firstLine="587" w:firstLineChars="304"/>
        <w:rPr>
          <w:rFonts w:ascii="宋体" w:hAnsi="宋体"/>
          <w:szCs w:val="21"/>
        </w:rPr>
      </w:pPr>
      <w:r>
        <w:rPr>
          <w:rFonts w:hint="eastAsia" w:ascii="宋体" w:hAnsi="宋体"/>
          <w:szCs w:val="21"/>
        </w:rPr>
        <w:t>（2）面层铺设彩色EPDM橡胶颗粒地垫（新国际）</w:t>
      </w:r>
      <w:r>
        <w:rPr>
          <w:rFonts w:hint="eastAsia" w:ascii="宋体" w:hAnsi="宋体"/>
          <w:szCs w:val="21"/>
          <w:lang w:val="en-US" w:eastAsia="zh-CN"/>
        </w:rPr>
        <w:t xml:space="preserve"> </w:t>
      </w:r>
      <w:r>
        <w:rPr>
          <w:rFonts w:hint="eastAsia" w:ascii="宋体" w:hAnsi="宋体"/>
          <w:szCs w:val="21"/>
        </w:rPr>
        <w:t>3378.60平方；</w:t>
      </w:r>
    </w:p>
    <w:p>
      <w:pPr>
        <w:ind w:firstLine="587" w:firstLineChars="304"/>
        <w:rPr>
          <w:rFonts w:ascii="宋体" w:hAnsi="宋体"/>
          <w:szCs w:val="21"/>
        </w:rPr>
      </w:pPr>
      <w:r>
        <w:rPr>
          <w:rFonts w:hint="eastAsia" w:ascii="宋体" w:hAnsi="宋体"/>
          <w:szCs w:val="21"/>
        </w:rPr>
        <w:t>（3）在跑道内侧拆旧建新排水沟 400 米；</w:t>
      </w:r>
    </w:p>
    <w:p>
      <w:pPr>
        <w:ind w:firstLine="587" w:firstLineChars="304"/>
        <w:rPr>
          <w:rFonts w:ascii="宋体" w:hAnsi="宋体"/>
          <w:szCs w:val="21"/>
        </w:rPr>
      </w:pPr>
      <w:r>
        <w:rPr>
          <w:rFonts w:hint="eastAsia" w:ascii="宋体" w:hAnsi="宋体"/>
          <w:szCs w:val="21"/>
        </w:rPr>
        <w:t>（4）跑道内训练场新建40mm高免填充人造草坪 8748.8平方；</w:t>
      </w:r>
    </w:p>
    <w:p>
      <w:pPr>
        <w:ind w:firstLine="587" w:firstLineChars="304"/>
        <w:rPr>
          <w:rFonts w:ascii="宋体" w:hAnsi="宋体"/>
          <w:szCs w:val="21"/>
        </w:rPr>
      </w:pPr>
      <w:r>
        <w:rPr>
          <w:rFonts w:hint="eastAsia" w:ascii="宋体" w:hAnsi="宋体"/>
          <w:szCs w:val="21"/>
        </w:rPr>
        <w:t>（5）跑道旁壕沟顶新建C30混凝土板 73.9 平方；</w:t>
      </w:r>
    </w:p>
    <w:p>
      <w:pPr>
        <w:ind w:firstLine="587" w:firstLineChars="304"/>
        <w:rPr>
          <w:rFonts w:ascii="宋体" w:hAnsi="宋体"/>
          <w:szCs w:val="21"/>
        </w:rPr>
      </w:pPr>
      <w:r>
        <w:rPr>
          <w:rFonts w:hint="eastAsia" w:ascii="宋体" w:hAnsi="宋体"/>
          <w:szCs w:val="21"/>
        </w:rPr>
        <w:t>（6）拆旧轮胎靶墙建新靶墙 87 米，轮胎摆放 4943</w:t>
      </w:r>
      <w:r>
        <w:rPr>
          <w:rFonts w:hint="eastAsia" w:ascii="宋体" w:hAnsi="宋体"/>
          <w:szCs w:val="21"/>
          <w:lang w:val="en-US" w:eastAsia="zh-CN"/>
        </w:rPr>
        <w:t xml:space="preserve"> </w:t>
      </w:r>
      <w:r>
        <w:rPr>
          <w:rFonts w:hint="eastAsia" w:ascii="宋体" w:hAnsi="宋体"/>
          <w:szCs w:val="21"/>
        </w:rPr>
        <w:t>个；</w:t>
      </w:r>
    </w:p>
    <w:p>
      <w:pPr>
        <w:ind w:firstLine="587" w:firstLineChars="304"/>
        <w:rPr>
          <w:rFonts w:ascii="宋体" w:hAnsi="宋体"/>
          <w:szCs w:val="21"/>
        </w:rPr>
      </w:pPr>
      <w:r>
        <w:rPr>
          <w:rFonts w:hint="eastAsia" w:ascii="宋体" w:hAnsi="宋体"/>
          <w:szCs w:val="21"/>
        </w:rPr>
        <w:t>（7）跑道旁新建钢结构户外全彩LED 显示大屏（81.715平方）及其他附属设施等工程。</w:t>
      </w:r>
    </w:p>
    <w:p>
      <w:pPr>
        <w:ind w:firstLine="386" w:firstLineChars="200"/>
        <w:rPr>
          <w:rFonts w:ascii="宋体" w:hAnsi="宋体"/>
          <w:szCs w:val="21"/>
        </w:rPr>
      </w:pPr>
      <w:r>
        <w:rPr>
          <w:rFonts w:ascii="宋体" w:hAnsi="宋体"/>
          <w:szCs w:val="21"/>
        </w:rPr>
        <w:t>4</w:t>
      </w:r>
      <w:r>
        <w:rPr>
          <w:rFonts w:hint="eastAsia" w:ascii="宋体" w:hAnsi="宋体"/>
          <w:szCs w:val="21"/>
        </w:rPr>
        <w:t>.工程内容：</w:t>
      </w:r>
    </w:p>
    <w:p>
      <w:pPr>
        <w:ind w:firstLine="587" w:firstLineChars="304"/>
        <w:rPr>
          <w:rFonts w:ascii="宋体" w:hAnsi="宋体"/>
          <w:szCs w:val="21"/>
        </w:rPr>
      </w:pPr>
      <w:r>
        <w:rPr>
          <w:rFonts w:hint="eastAsia" w:ascii="宋体" w:hAnsi="宋体"/>
          <w:szCs w:val="21"/>
        </w:rPr>
        <w:t>（1）将原跑道及跑道内的基础层泥土铲除 250mm ，压实。</w:t>
      </w:r>
    </w:p>
    <w:p>
      <w:pPr>
        <w:widowControl w:val="0"/>
        <w:ind w:firstLine="587" w:firstLineChars="304"/>
        <w:rPr>
          <w:rFonts w:ascii="宋体" w:hAnsi="宋体"/>
          <w:szCs w:val="21"/>
        </w:rPr>
      </w:pPr>
      <w:r>
        <w:rPr>
          <w:rFonts w:hint="eastAsia" w:ascii="宋体" w:hAnsi="宋体"/>
          <w:szCs w:val="21"/>
        </w:rPr>
        <w:t>（2）根据最新的标准跑道的尺寸要求，重新砖砌 300mm 宽排水沟及混凝土盖板。</w:t>
      </w:r>
    </w:p>
    <w:p>
      <w:pPr>
        <w:widowControl w:val="0"/>
        <w:ind w:firstLine="587" w:firstLineChars="304"/>
        <w:rPr>
          <w:rFonts w:ascii="宋体" w:hAnsi="宋体"/>
          <w:szCs w:val="21"/>
        </w:rPr>
      </w:pPr>
      <w:r>
        <w:rPr>
          <w:rFonts w:hint="eastAsia" w:ascii="宋体" w:hAnsi="宋体"/>
          <w:szCs w:val="21"/>
        </w:rPr>
        <w:t>（3）跑道及跑道内铺设 100mm 厚8%的水泥石屑稳定层 +150mm 厚C30混凝层。</w:t>
      </w:r>
    </w:p>
    <w:p>
      <w:pPr>
        <w:widowControl w:val="0"/>
        <w:ind w:firstLine="587" w:firstLineChars="304"/>
        <w:rPr>
          <w:rFonts w:ascii="宋体" w:hAnsi="宋体"/>
          <w:szCs w:val="21"/>
        </w:rPr>
      </w:pPr>
      <w:r>
        <w:rPr>
          <w:rFonts w:hint="eastAsia" w:ascii="宋体" w:hAnsi="宋体"/>
          <w:szCs w:val="21"/>
        </w:rPr>
        <w:t>（4）跑道内空地铺设 40mm 厚人造草坪。</w:t>
      </w:r>
    </w:p>
    <w:p>
      <w:pPr>
        <w:widowControl w:val="0"/>
        <w:ind w:firstLine="587" w:firstLineChars="304"/>
        <w:rPr>
          <w:rFonts w:ascii="宋体" w:hAnsi="宋体"/>
          <w:szCs w:val="21"/>
        </w:rPr>
      </w:pPr>
      <w:r>
        <w:rPr>
          <w:rFonts w:hint="eastAsia" w:ascii="宋体" w:hAnsi="宋体"/>
          <w:szCs w:val="21"/>
        </w:rPr>
        <w:t>（5）跑道部分铺设 EPDM 橡胶颗粒，厚度为 15mm 。</w:t>
      </w:r>
    </w:p>
    <w:p>
      <w:pPr>
        <w:widowControl w:val="0"/>
        <w:ind w:firstLine="587" w:firstLineChars="304"/>
        <w:rPr>
          <w:rFonts w:ascii="宋体" w:hAnsi="宋体"/>
          <w:szCs w:val="21"/>
        </w:rPr>
      </w:pPr>
      <w:r>
        <w:rPr>
          <w:rFonts w:hint="eastAsia" w:ascii="宋体" w:hAnsi="宋体"/>
          <w:szCs w:val="21"/>
        </w:rPr>
        <w:t>（6）武警茂名支队机动中队综合茂名市森林公园武警支队智慧训练场建设项目（一期）壕沟顶预制C30混凝土板 100mm 厚。</w:t>
      </w:r>
    </w:p>
    <w:p>
      <w:pPr>
        <w:widowControl w:val="0"/>
        <w:ind w:firstLine="587" w:firstLineChars="304"/>
        <w:rPr>
          <w:rFonts w:ascii="宋体" w:hAnsi="宋体"/>
          <w:szCs w:val="21"/>
        </w:rPr>
      </w:pPr>
      <w:r>
        <w:rPr>
          <w:rFonts w:hint="eastAsia" w:ascii="宋体" w:hAnsi="宋体"/>
          <w:szCs w:val="21"/>
        </w:rPr>
        <w:t>（7）壕沟旁新建轮胎靶墙等。</w:t>
      </w:r>
    </w:p>
    <w:p>
      <w:pPr>
        <w:widowControl w:val="0"/>
        <w:ind w:firstLine="386" w:firstLineChars="200"/>
        <w:rPr>
          <w:rFonts w:ascii="宋体" w:hAnsi="宋体"/>
          <w:szCs w:val="21"/>
        </w:rPr>
      </w:pPr>
      <w:r>
        <w:rPr>
          <w:rFonts w:hint="eastAsia" w:ascii="宋体" w:hAnsi="宋体"/>
          <w:szCs w:val="21"/>
        </w:rPr>
        <w:t>5.说明：</w:t>
      </w:r>
    </w:p>
    <w:p>
      <w:pPr>
        <w:ind w:firstLine="386" w:firstLineChars="200"/>
        <w:rPr>
          <w:rFonts w:ascii="宋体" w:hAnsi="宋体"/>
          <w:color w:val="FF0000"/>
          <w:szCs w:val="21"/>
        </w:rPr>
      </w:pPr>
      <w:r>
        <w:rPr>
          <w:rFonts w:hint="eastAsia" w:ascii="宋体" w:hAnsi="宋体"/>
          <w:b/>
          <w:bCs/>
          <w:szCs w:val="21"/>
        </w:rPr>
        <w:t>（1）本项目的投标报价不得高于预算金额的96%（即人民币3,482,848.6176元）。</w:t>
      </w:r>
      <w:r>
        <w:rPr>
          <w:rFonts w:hint="eastAsia" w:ascii="宋体" w:hAnsi="宋体"/>
          <w:szCs w:val="21"/>
        </w:rPr>
        <w:t>暂列金额、暂估价和绿色施工安全防护措施费不参与竞争，所有</w:t>
      </w:r>
      <w:r>
        <w:rPr>
          <w:rFonts w:hint="eastAsia"/>
          <w:szCs w:val="21"/>
        </w:rPr>
        <w:t>供应商</w:t>
      </w:r>
      <w:r>
        <w:rPr>
          <w:rFonts w:hint="eastAsia" w:ascii="宋体" w:hAnsi="宋体"/>
          <w:szCs w:val="21"/>
        </w:rPr>
        <w:t>必须按工程量清单公布的暂列金额、暂估价和绿色施工安全防护措施费进行报价，不得调整（属软件误差的除外），否则其响应作为无效响应处理。</w:t>
      </w:r>
    </w:p>
    <w:p>
      <w:pPr>
        <w:widowControl w:val="0"/>
        <w:ind w:firstLine="386" w:firstLineChars="200"/>
        <w:rPr>
          <w:rFonts w:ascii="宋体" w:hAnsi="宋体"/>
          <w:szCs w:val="21"/>
        </w:rPr>
      </w:pPr>
      <w:r>
        <w:rPr>
          <w:rFonts w:hint="eastAsia" w:ascii="宋体" w:hAnsi="宋体"/>
          <w:szCs w:val="21"/>
        </w:rPr>
        <w:t>（2）预算中凡属暂估价的材料指目前未能准确确定其价格的材料，其价格应由发包人及承包人在施工过程中根据市场实际确定，作为最终结算价格；暂列金额为按规定暂计入招标控制价的属建设单位的款项，用于支付在施工过程中可能发生的变更及额外增加的工作费用。</w:t>
      </w:r>
    </w:p>
    <w:p>
      <w:pPr>
        <w:adjustRightInd w:val="0"/>
        <w:snapToGrid w:val="0"/>
        <w:rPr>
          <w:rFonts w:ascii="宋体" w:hAnsi="宋体"/>
          <w:szCs w:val="21"/>
        </w:rPr>
      </w:pPr>
    </w:p>
    <w:p>
      <w:pPr>
        <w:keepNext/>
        <w:keepLines/>
        <w:outlineLvl w:val="1"/>
        <w:rPr>
          <w:rFonts w:ascii="宋体" w:hAnsi="宋体"/>
          <w:b/>
          <w:bCs/>
          <w:sz w:val="24"/>
          <w:szCs w:val="32"/>
        </w:rPr>
      </w:pPr>
      <w:r>
        <w:rPr>
          <w:rFonts w:hint="eastAsia" w:ascii="宋体" w:hAnsi="宋体"/>
          <w:b/>
          <w:bCs/>
          <w:sz w:val="24"/>
          <w:szCs w:val="32"/>
        </w:rPr>
        <w:t>二、工程量清单</w:t>
      </w:r>
    </w:p>
    <w:tbl>
      <w:tblPr>
        <w:tblStyle w:val="49"/>
        <w:tblW w:w="0" w:type="auto"/>
        <w:jc w:val="center"/>
        <w:tblLayout w:type="autofit"/>
        <w:tblCellMar>
          <w:top w:w="0" w:type="dxa"/>
          <w:left w:w="108" w:type="dxa"/>
          <w:bottom w:w="0" w:type="dxa"/>
          <w:right w:w="108" w:type="dxa"/>
        </w:tblCellMar>
      </w:tblPr>
      <w:tblGrid>
        <w:gridCol w:w="642"/>
        <w:gridCol w:w="3994"/>
        <w:gridCol w:w="1287"/>
        <w:gridCol w:w="858"/>
        <w:gridCol w:w="1404"/>
        <w:gridCol w:w="852"/>
      </w:tblGrid>
      <w:tr>
        <w:tblPrEx>
          <w:tblCellMar>
            <w:top w:w="0" w:type="dxa"/>
            <w:left w:w="108" w:type="dxa"/>
            <w:bottom w:w="0" w:type="dxa"/>
            <w:right w:w="108" w:type="dxa"/>
          </w:tblCellMar>
        </w:tblPrEx>
        <w:trPr>
          <w:trHeight w:val="410" w:hRule="atLeast"/>
          <w:jc w:val="center"/>
        </w:trPr>
        <w:tc>
          <w:tcPr>
            <w:tcW w:w="9759" w:type="dxa"/>
            <w:gridSpan w:val="6"/>
            <w:tcBorders>
              <w:top w:val="nil"/>
              <w:left w:val="nil"/>
              <w:bottom w:val="nil"/>
              <w:right w:val="nil"/>
            </w:tcBorders>
            <w:shd w:val="clear" w:color="auto" w:fill="auto"/>
            <w:vAlign w:val="center"/>
          </w:tcPr>
          <w:p>
            <w:pPr>
              <w:spacing w:line="240" w:lineRule="auto"/>
              <w:jc w:val="center"/>
              <w:textAlignment w:val="center"/>
              <w:rPr>
                <w:rFonts w:ascii="宋体" w:hAnsi="宋体" w:cs="宋体"/>
                <w:b/>
                <w:bCs/>
                <w:color w:val="000000"/>
                <w:sz w:val="40"/>
                <w:szCs w:val="40"/>
              </w:rPr>
            </w:pPr>
            <w:r>
              <w:rPr>
                <w:rFonts w:hint="eastAsia" w:ascii="宋体" w:hAnsi="宋体" w:cs="宋体"/>
                <w:b/>
                <w:bCs/>
                <w:color w:val="000000"/>
                <w:kern w:val="0"/>
                <w:sz w:val="40"/>
                <w:szCs w:val="40"/>
              </w:rPr>
              <w:t>单项工程招标控制价汇总表</w:t>
            </w:r>
          </w:p>
        </w:tc>
      </w:tr>
      <w:tr>
        <w:tblPrEx>
          <w:tblCellMar>
            <w:top w:w="0" w:type="dxa"/>
            <w:left w:w="108" w:type="dxa"/>
            <w:bottom w:w="0" w:type="dxa"/>
            <w:right w:w="108" w:type="dxa"/>
          </w:tblCellMar>
        </w:tblPrEx>
        <w:trPr>
          <w:trHeight w:val="90" w:hRule="atLeast"/>
          <w:jc w:val="center"/>
        </w:trPr>
        <w:tc>
          <w:tcPr>
            <w:tcW w:w="6464" w:type="dxa"/>
            <w:gridSpan w:val="3"/>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工程名称：单项工程</w:t>
            </w:r>
          </w:p>
        </w:tc>
        <w:tc>
          <w:tcPr>
            <w:tcW w:w="923" w:type="dxa"/>
            <w:tcBorders>
              <w:top w:val="nil"/>
              <w:left w:val="nil"/>
              <w:bottom w:val="nil"/>
              <w:right w:val="nil"/>
            </w:tcBorders>
            <w:shd w:val="clear" w:color="auto" w:fill="auto"/>
            <w:vAlign w:val="bottom"/>
          </w:tcPr>
          <w:p>
            <w:pPr>
              <w:spacing w:line="240" w:lineRule="auto"/>
              <w:jc w:val="center"/>
              <w:rPr>
                <w:rFonts w:ascii="宋体" w:hAnsi="宋体" w:cs="宋体"/>
                <w:color w:val="000000"/>
                <w:sz w:val="20"/>
                <w:szCs w:val="20"/>
              </w:rPr>
            </w:pPr>
          </w:p>
        </w:tc>
        <w:tc>
          <w:tcPr>
            <w:tcW w:w="2372" w:type="dxa"/>
            <w:gridSpan w:val="2"/>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20"/>
                <w:szCs w:val="20"/>
              </w:rPr>
            </w:pPr>
            <w:r>
              <w:rPr>
                <w:rFonts w:hint="eastAsia" w:ascii="宋体" w:hAnsi="宋体" w:cs="宋体"/>
                <w:color w:val="000000"/>
                <w:kern w:val="0"/>
                <w:sz w:val="20"/>
                <w:szCs w:val="20"/>
              </w:rPr>
              <w:t>第 1 页 共 1 页</w:t>
            </w:r>
          </w:p>
        </w:tc>
      </w:tr>
      <w:tr>
        <w:tblPrEx>
          <w:tblCellMar>
            <w:top w:w="0" w:type="dxa"/>
            <w:left w:w="108" w:type="dxa"/>
            <w:bottom w:w="0" w:type="dxa"/>
            <w:right w:w="108" w:type="dxa"/>
          </w:tblCellMar>
        </w:tblPrEx>
        <w:trPr>
          <w:trHeight w:val="345" w:hRule="atLeast"/>
          <w:jc w:val="center"/>
        </w:trPr>
        <w:tc>
          <w:tcPr>
            <w:tcW w:w="676"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序号</w:t>
            </w:r>
          </w:p>
        </w:tc>
        <w:tc>
          <w:tcPr>
            <w:tcW w:w="4478"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单位工程名称</w:t>
            </w:r>
          </w:p>
        </w:tc>
        <w:tc>
          <w:tcPr>
            <w:tcW w:w="1310"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金额（元）</w:t>
            </w:r>
          </w:p>
        </w:tc>
        <w:tc>
          <w:tcPr>
            <w:tcW w:w="3295" w:type="dxa"/>
            <w:gridSpan w:val="3"/>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其中：（元）</w:t>
            </w:r>
          </w:p>
        </w:tc>
      </w:tr>
      <w:tr>
        <w:tblPrEx>
          <w:tblCellMar>
            <w:top w:w="0" w:type="dxa"/>
            <w:left w:w="108" w:type="dxa"/>
            <w:bottom w:w="0" w:type="dxa"/>
            <w:right w:w="108" w:type="dxa"/>
          </w:tblCellMar>
        </w:tblPrEx>
        <w:trPr>
          <w:trHeight w:val="570" w:hRule="atLeast"/>
          <w:jc w:val="center"/>
        </w:trPr>
        <w:tc>
          <w:tcPr>
            <w:tcW w:w="676"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31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暂估价</w:t>
            </w: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绿色施工安全防护措施费</w:t>
            </w: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规费</w:t>
            </w:r>
          </w:p>
        </w:tc>
      </w:tr>
      <w:tr>
        <w:tblPrEx>
          <w:tblCellMar>
            <w:top w:w="0" w:type="dxa"/>
            <w:left w:w="108" w:type="dxa"/>
            <w:bottom w:w="0" w:type="dxa"/>
            <w:right w:w="108" w:type="dxa"/>
          </w:tblCellMar>
        </w:tblPrEx>
        <w:trPr>
          <w:trHeight w:val="570"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武警茂名支队机动中队综合智慧训练场建设项目（一期）市政</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97351.03</w:t>
            </w: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武警茂名支队机动中队综合智慧训练场建设项目（一期）-安装</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21113.66</w:t>
            </w: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67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4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1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75" w:hRule="atLeast"/>
          <w:jc w:val="center"/>
        </w:trPr>
        <w:tc>
          <w:tcPr>
            <w:tcW w:w="5154" w:type="dxa"/>
            <w:gridSpan w:val="2"/>
            <w:tcBorders>
              <w:top w:val="single" w:color="000000" w:sz="4" w:space="0"/>
              <w:left w:val="single" w:color="000000" w:sz="8" w:space="0"/>
              <w:bottom w:val="single" w:color="000000" w:sz="8"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合计</w:t>
            </w:r>
          </w:p>
        </w:tc>
        <w:tc>
          <w:tcPr>
            <w:tcW w:w="1310"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3627967.31</w:t>
            </w:r>
          </w:p>
        </w:tc>
        <w:tc>
          <w:tcPr>
            <w:tcW w:w="923"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456"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118464.69</w:t>
            </w:r>
          </w:p>
        </w:tc>
        <w:tc>
          <w:tcPr>
            <w:tcW w:w="916" w:type="dxa"/>
            <w:tcBorders>
              <w:top w:val="single" w:color="000000" w:sz="4" w:space="0"/>
              <w:left w:val="single" w:color="000000" w:sz="4" w:space="0"/>
              <w:bottom w:val="single" w:color="000000" w:sz="8"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285" w:hRule="atLeast"/>
          <w:jc w:val="center"/>
        </w:trPr>
        <w:tc>
          <w:tcPr>
            <w:tcW w:w="9759" w:type="dxa"/>
            <w:gridSpan w:val="6"/>
            <w:tcBorders>
              <w:top w:val="nil"/>
              <w:left w:val="nil"/>
              <w:bottom w:val="nil"/>
              <w:right w:val="nil"/>
            </w:tcBorders>
            <w:shd w:val="clear" w:color="auto" w:fill="auto"/>
            <w:vAlign w:val="center"/>
          </w:tcPr>
          <w:p>
            <w:pPr>
              <w:spacing w:line="240" w:lineRule="auto"/>
              <w:jc w:val="left"/>
              <w:textAlignment w:val="center"/>
              <w:rPr>
                <w:rFonts w:ascii="宋体" w:hAnsi="宋体" w:cs="宋体"/>
                <w:color w:val="000000"/>
                <w:sz w:val="18"/>
                <w:szCs w:val="18"/>
              </w:rPr>
            </w:pPr>
            <w:r>
              <w:rPr>
                <w:rFonts w:hint="eastAsia" w:ascii="宋体" w:hAnsi="宋体" w:cs="宋体"/>
                <w:color w:val="000000"/>
                <w:kern w:val="0"/>
                <w:sz w:val="18"/>
                <w:szCs w:val="18"/>
              </w:rPr>
              <w:t>注：本表适用于单项工程招标控制价或投标报价的汇总。暂估价包括分部分项工程中的暂估价和专业工程工程暂估价。</w:t>
            </w:r>
          </w:p>
        </w:tc>
      </w:tr>
      <w:tr>
        <w:tblPrEx>
          <w:tblCellMar>
            <w:top w:w="0" w:type="dxa"/>
            <w:left w:w="108" w:type="dxa"/>
            <w:bottom w:w="0" w:type="dxa"/>
            <w:right w:w="108" w:type="dxa"/>
          </w:tblCellMar>
        </w:tblPrEx>
        <w:trPr>
          <w:trHeight w:val="285" w:hRule="atLeast"/>
          <w:jc w:val="center"/>
        </w:trPr>
        <w:tc>
          <w:tcPr>
            <w:tcW w:w="6464" w:type="dxa"/>
            <w:gridSpan w:val="3"/>
            <w:tcBorders>
              <w:top w:val="nil"/>
              <w:left w:val="nil"/>
              <w:bottom w:val="nil"/>
              <w:right w:val="nil"/>
            </w:tcBorders>
            <w:shd w:val="clear" w:color="auto" w:fill="auto"/>
            <w:vAlign w:val="center"/>
          </w:tcPr>
          <w:p>
            <w:pPr>
              <w:spacing w:line="240" w:lineRule="auto"/>
              <w:jc w:val="left"/>
              <w:rPr>
                <w:rFonts w:ascii="宋体" w:hAnsi="宋体" w:cs="宋体"/>
                <w:color w:val="000000"/>
                <w:sz w:val="18"/>
                <w:szCs w:val="18"/>
              </w:rPr>
            </w:pPr>
          </w:p>
        </w:tc>
        <w:tc>
          <w:tcPr>
            <w:tcW w:w="923" w:type="dxa"/>
            <w:tcBorders>
              <w:top w:val="nil"/>
              <w:left w:val="nil"/>
              <w:bottom w:val="nil"/>
              <w:right w:val="nil"/>
            </w:tcBorders>
            <w:shd w:val="clear" w:color="auto" w:fill="auto"/>
            <w:vAlign w:val="center"/>
          </w:tcPr>
          <w:p>
            <w:pPr>
              <w:spacing w:line="240" w:lineRule="auto"/>
              <w:jc w:val="center"/>
              <w:rPr>
                <w:rFonts w:ascii="宋体" w:hAnsi="宋体" w:cs="宋体"/>
                <w:color w:val="000000"/>
                <w:sz w:val="18"/>
                <w:szCs w:val="18"/>
              </w:rPr>
            </w:pPr>
          </w:p>
        </w:tc>
        <w:tc>
          <w:tcPr>
            <w:tcW w:w="2372" w:type="dxa"/>
            <w:gridSpan w:val="2"/>
            <w:tcBorders>
              <w:top w:val="nil"/>
              <w:left w:val="nil"/>
              <w:bottom w:val="nil"/>
              <w:right w:val="nil"/>
            </w:tcBorders>
            <w:shd w:val="clear" w:color="auto" w:fill="auto"/>
            <w:vAlign w:val="center"/>
          </w:tcPr>
          <w:p>
            <w:pPr>
              <w:spacing w:line="240" w:lineRule="auto"/>
              <w:jc w:val="right"/>
              <w:textAlignment w:val="center"/>
              <w:rPr>
                <w:rFonts w:ascii="宋体" w:hAnsi="宋体" w:cs="宋体"/>
                <w:color w:val="000000"/>
                <w:sz w:val="18"/>
                <w:szCs w:val="18"/>
              </w:rPr>
            </w:pPr>
            <w:r>
              <w:rPr>
                <w:rFonts w:hint="eastAsia" w:ascii="宋体" w:hAnsi="宋体" w:cs="宋体"/>
                <w:color w:val="000000"/>
                <w:kern w:val="0"/>
                <w:sz w:val="18"/>
                <w:szCs w:val="18"/>
              </w:rPr>
              <w:t>表—03</w:t>
            </w:r>
          </w:p>
        </w:tc>
      </w:tr>
    </w:tbl>
    <w:p>
      <w:pPr>
        <w:jc w:val="left"/>
      </w:pPr>
    </w:p>
    <w:tbl>
      <w:tblPr>
        <w:tblStyle w:val="49"/>
        <w:tblW w:w="9202" w:type="dxa"/>
        <w:jc w:val="center"/>
        <w:tblLayout w:type="autofit"/>
        <w:tblCellMar>
          <w:top w:w="0" w:type="dxa"/>
          <w:left w:w="108" w:type="dxa"/>
          <w:bottom w:w="0" w:type="dxa"/>
          <w:right w:w="108" w:type="dxa"/>
        </w:tblCellMar>
      </w:tblPr>
      <w:tblGrid>
        <w:gridCol w:w="1140"/>
        <w:gridCol w:w="5028"/>
        <w:gridCol w:w="1159"/>
        <w:gridCol w:w="1875"/>
      </w:tblGrid>
      <w:tr>
        <w:tblPrEx>
          <w:tblCellMar>
            <w:top w:w="0" w:type="dxa"/>
            <w:left w:w="108" w:type="dxa"/>
            <w:bottom w:w="0" w:type="dxa"/>
            <w:right w:w="108" w:type="dxa"/>
          </w:tblCellMar>
        </w:tblPrEx>
        <w:trPr>
          <w:trHeight w:val="90" w:hRule="atLeast"/>
          <w:jc w:val="center"/>
        </w:trPr>
        <w:tc>
          <w:tcPr>
            <w:tcW w:w="9202" w:type="dxa"/>
            <w:gridSpan w:val="4"/>
            <w:tcBorders>
              <w:top w:val="nil"/>
              <w:left w:val="nil"/>
              <w:bottom w:val="nil"/>
              <w:right w:val="nil"/>
            </w:tcBorders>
            <w:shd w:val="clear" w:color="auto" w:fill="auto"/>
            <w:vAlign w:val="center"/>
          </w:tcPr>
          <w:p>
            <w:pPr>
              <w:spacing w:line="240" w:lineRule="auto"/>
              <w:jc w:val="center"/>
              <w:textAlignment w:val="center"/>
              <w:rPr>
                <w:rFonts w:ascii="宋体" w:hAnsi="宋体" w:cs="宋体"/>
                <w:b/>
                <w:bCs/>
                <w:color w:val="000000"/>
                <w:sz w:val="40"/>
                <w:szCs w:val="40"/>
              </w:rPr>
            </w:pPr>
            <w:r>
              <w:rPr>
                <w:rFonts w:hint="eastAsia" w:ascii="宋体" w:hAnsi="宋体" w:cs="宋体"/>
                <w:b/>
                <w:bCs/>
                <w:color w:val="000000"/>
                <w:kern w:val="0"/>
                <w:sz w:val="40"/>
                <w:szCs w:val="40"/>
              </w:rPr>
              <w:t>单位工程招标控制价汇总表</w:t>
            </w:r>
          </w:p>
        </w:tc>
      </w:tr>
      <w:tr>
        <w:tblPrEx>
          <w:tblCellMar>
            <w:top w:w="0" w:type="dxa"/>
            <w:left w:w="108" w:type="dxa"/>
            <w:bottom w:w="0" w:type="dxa"/>
            <w:right w:w="108" w:type="dxa"/>
          </w:tblCellMar>
        </w:tblPrEx>
        <w:trPr>
          <w:trHeight w:val="90" w:hRule="atLeast"/>
          <w:jc w:val="center"/>
        </w:trPr>
        <w:tc>
          <w:tcPr>
            <w:tcW w:w="6168" w:type="dxa"/>
            <w:gridSpan w:val="2"/>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工程名称：武警茂名支队机动中队综合智慧训练场建设项目（一期）市政</w:t>
            </w:r>
          </w:p>
        </w:tc>
        <w:tc>
          <w:tcPr>
            <w:tcW w:w="1159" w:type="dxa"/>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标段：</w:t>
            </w:r>
          </w:p>
        </w:tc>
        <w:tc>
          <w:tcPr>
            <w:tcW w:w="1875" w:type="dxa"/>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20"/>
                <w:szCs w:val="20"/>
              </w:rPr>
            </w:pPr>
            <w:r>
              <w:rPr>
                <w:rFonts w:hint="eastAsia" w:ascii="宋体" w:hAnsi="宋体" w:cs="宋体"/>
                <w:color w:val="000000"/>
                <w:kern w:val="0"/>
                <w:sz w:val="20"/>
                <w:szCs w:val="20"/>
              </w:rPr>
              <w:t>第 1 页  共 1 页</w:t>
            </w:r>
          </w:p>
        </w:tc>
      </w:tr>
      <w:tr>
        <w:tblPrEx>
          <w:tblCellMar>
            <w:top w:w="0" w:type="dxa"/>
            <w:left w:w="108" w:type="dxa"/>
            <w:bottom w:w="0" w:type="dxa"/>
            <w:right w:w="108" w:type="dxa"/>
          </w:tblCellMar>
        </w:tblPrEx>
        <w:trPr>
          <w:trHeight w:val="375" w:hRule="atLeast"/>
          <w:jc w:val="center"/>
        </w:trPr>
        <w:tc>
          <w:tcPr>
            <w:tcW w:w="1140" w:type="dxa"/>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序号</w:t>
            </w:r>
          </w:p>
        </w:tc>
        <w:tc>
          <w:tcPr>
            <w:tcW w:w="5028"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汇总内容</w:t>
            </w:r>
          </w:p>
        </w:tc>
        <w:tc>
          <w:tcPr>
            <w:tcW w:w="1159"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金额:(元)</w:t>
            </w:r>
          </w:p>
        </w:tc>
        <w:tc>
          <w:tcPr>
            <w:tcW w:w="1875" w:type="dxa"/>
            <w:tcBorders>
              <w:top w:val="single" w:color="000000" w:sz="8"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其中：暂估价(元)</w:t>
            </w: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分部分项合计</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措施合计</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2.1</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绿色施工安全防护措施费</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97351.03</w:t>
            </w: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2.2</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其他措施费</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其他项目</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w:t>
            </w: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3.1</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暂列金额</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3.2</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暂估价</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3.3</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计日工</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3.4</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总承包服务费</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3.5</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预算包干费</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3.6</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工程优质费</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3.7</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概算幅度差</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3.8</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索赔费用</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3.9</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现场签证费用</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3.10</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其他费用</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税前工程造价</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增值税销项税额</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w:t>
            </w: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总造价</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人工费</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1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75"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168" w:type="dxa"/>
            <w:gridSpan w:val="2"/>
            <w:tcBorders>
              <w:top w:val="single" w:color="000000" w:sz="4" w:space="0"/>
              <w:left w:val="single" w:color="000000" w:sz="8" w:space="0"/>
              <w:bottom w:val="single" w:color="000000" w:sz="8"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招标控制价合计=1+2+3+5</w:t>
            </w:r>
          </w:p>
        </w:tc>
        <w:tc>
          <w:tcPr>
            <w:tcW w:w="1159"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875" w:type="dxa"/>
            <w:tcBorders>
              <w:top w:val="single" w:color="000000" w:sz="4" w:space="0"/>
              <w:left w:val="single" w:color="000000" w:sz="4" w:space="0"/>
              <w:bottom w:val="single" w:color="000000" w:sz="8" w:space="0"/>
              <w:right w:val="single" w:color="000000" w:sz="8"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0.00</w:t>
            </w:r>
          </w:p>
        </w:tc>
      </w:tr>
      <w:tr>
        <w:tblPrEx>
          <w:tblCellMar>
            <w:top w:w="0" w:type="dxa"/>
            <w:left w:w="108" w:type="dxa"/>
            <w:bottom w:w="0" w:type="dxa"/>
            <w:right w:w="108" w:type="dxa"/>
          </w:tblCellMar>
        </w:tblPrEx>
        <w:trPr>
          <w:trHeight w:val="360" w:hRule="atLeast"/>
          <w:jc w:val="center"/>
        </w:trPr>
        <w:tc>
          <w:tcPr>
            <w:tcW w:w="9202" w:type="dxa"/>
            <w:gridSpan w:val="4"/>
            <w:tcBorders>
              <w:top w:val="nil"/>
              <w:left w:val="nil"/>
              <w:bottom w:val="nil"/>
              <w:right w:val="nil"/>
            </w:tcBorders>
            <w:shd w:val="clear" w:color="auto" w:fill="auto"/>
          </w:tcPr>
          <w:p>
            <w:pPr>
              <w:spacing w:line="240" w:lineRule="auto"/>
              <w:jc w:val="left"/>
              <w:textAlignment w:val="top"/>
              <w:rPr>
                <w:rFonts w:ascii="宋体" w:hAnsi="宋体" w:cs="宋体"/>
                <w:color w:val="000000"/>
                <w:sz w:val="18"/>
                <w:szCs w:val="18"/>
              </w:rPr>
            </w:pPr>
            <w:r>
              <w:rPr>
                <w:rFonts w:hint="eastAsia" w:ascii="宋体" w:hAnsi="宋体" w:cs="宋体"/>
                <w:color w:val="000000"/>
                <w:kern w:val="0"/>
                <w:sz w:val="18"/>
                <w:szCs w:val="18"/>
              </w:rPr>
              <w:t>注：本表适用于单位工程招标控制价或投标报价的汇总，如无单位工程划分，单项工程也使用本表汇总</w:t>
            </w:r>
          </w:p>
        </w:tc>
      </w:tr>
      <w:tr>
        <w:tblPrEx>
          <w:tblCellMar>
            <w:top w:w="0" w:type="dxa"/>
            <w:left w:w="108" w:type="dxa"/>
            <w:bottom w:w="0" w:type="dxa"/>
            <w:right w:w="108" w:type="dxa"/>
          </w:tblCellMar>
        </w:tblPrEx>
        <w:trPr>
          <w:trHeight w:val="360" w:hRule="atLeast"/>
          <w:jc w:val="center"/>
        </w:trPr>
        <w:tc>
          <w:tcPr>
            <w:tcW w:w="6168" w:type="dxa"/>
            <w:gridSpan w:val="2"/>
            <w:tcBorders>
              <w:top w:val="nil"/>
              <w:left w:val="nil"/>
              <w:bottom w:val="nil"/>
              <w:right w:val="nil"/>
            </w:tcBorders>
            <w:shd w:val="clear" w:color="auto" w:fill="auto"/>
            <w:vAlign w:val="center"/>
          </w:tcPr>
          <w:p>
            <w:pPr>
              <w:spacing w:line="240" w:lineRule="auto"/>
              <w:jc w:val="left"/>
              <w:rPr>
                <w:rFonts w:ascii="宋体" w:hAnsi="宋体" w:cs="宋体"/>
                <w:color w:val="000000"/>
                <w:sz w:val="18"/>
                <w:szCs w:val="18"/>
              </w:rPr>
            </w:pPr>
          </w:p>
        </w:tc>
        <w:tc>
          <w:tcPr>
            <w:tcW w:w="1159" w:type="dxa"/>
            <w:tcBorders>
              <w:top w:val="nil"/>
              <w:left w:val="nil"/>
              <w:bottom w:val="nil"/>
              <w:right w:val="nil"/>
            </w:tcBorders>
            <w:shd w:val="clear" w:color="auto" w:fill="auto"/>
            <w:vAlign w:val="center"/>
          </w:tcPr>
          <w:p>
            <w:pPr>
              <w:spacing w:line="240" w:lineRule="auto"/>
              <w:jc w:val="center"/>
              <w:rPr>
                <w:rFonts w:ascii="宋体" w:hAnsi="宋体" w:cs="宋体"/>
                <w:color w:val="000000"/>
                <w:sz w:val="18"/>
                <w:szCs w:val="18"/>
              </w:rPr>
            </w:pPr>
          </w:p>
        </w:tc>
        <w:tc>
          <w:tcPr>
            <w:tcW w:w="1875" w:type="dxa"/>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18"/>
                <w:szCs w:val="18"/>
              </w:rPr>
            </w:pPr>
            <w:r>
              <w:rPr>
                <w:rFonts w:hint="eastAsia" w:ascii="宋体" w:hAnsi="宋体" w:cs="宋体"/>
                <w:color w:val="000000"/>
                <w:kern w:val="0"/>
                <w:sz w:val="18"/>
                <w:szCs w:val="18"/>
              </w:rPr>
              <w:t>表—04</w:t>
            </w:r>
          </w:p>
        </w:tc>
      </w:tr>
    </w:tbl>
    <w:p>
      <w:pPr>
        <w:pStyle w:val="47"/>
        <w:ind w:firstLine="192"/>
      </w:pPr>
    </w:p>
    <w:tbl>
      <w:tblPr>
        <w:tblStyle w:val="49"/>
        <w:tblW w:w="9879" w:type="dxa"/>
        <w:jc w:val="center"/>
        <w:tblLayout w:type="fixed"/>
        <w:tblCellMar>
          <w:top w:w="0" w:type="dxa"/>
          <w:left w:w="108" w:type="dxa"/>
          <w:bottom w:w="0" w:type="dxa"/>
          <w:right w:w="108" w:type="dxa"/>
        </w:tblCellMar>
      </w:tblPr>
      <w:tblGrid>
        <w:gridCol w:w="416"/>
        <w:gridCol w:w="1416"/>
        <w:gridCol w:w="1685"/>
        <w:gridCol w:w="2250"/>
        <w:gridCol w:w="421"/>
        <w:gridCol w:w="481"/>
        <w:gridCol w:w="546"/>
        <w:gridCol w:w="352"/>
        <w:gridCol w:w="516"/>
        <w:gridCol w:w="944"/>
        <w:gridCol w:w="852"/>
      </w:tblGrid>
      <w:tr>
        <w:tblPrEx>
          <w:tblCellMar>
            <w:top w:w="0" w:type="dxa"/>
            <w:left w:w="108" w:type="dxa"/>
            <w:bottom w:w="0" w:type="dxa"/>
            <w:right w:w="108" w:type="dxa"/>
          </w:tblCellMar>
        </w:tblPrEx>
        <w:trPr>
          <w:trHeight w:val="91" w:hRule="atLeast"/>
          <w:jc w:val="center"/>
        </w:trPr>
        <w:tc>
          <w:tcPr>
            <w:tcW w:w="9879" w:type="dxa"/>
            <w:gridSpan w:val="11"/>
            <w:tcBorders>
              <w:top w:val="nil"/>
              <w:left w:val="nil"/>
              <w:bottom w:val="nil"/>
              <w:right w:val="nil"/>
            </w:tcBorders>
            <w:shd w:val="clear" w:color="auto" w:fill="auto"/>
            <w:vAlign w:val="center"/>
          </w:tcPr>
          <w:p>
            <w:pPr>
              <w:spacing w:line="240" w:lineRule="auto"/>
              <w:jc w:val="center"/>
              <w:textAlignment w:val="center"/>
              <w:rPr>
                <w:rFonts w:ascii="宋体" w:hAnsi="宋体" w:cs="宋体"/>
                <w:b/>
                <w:bCs/>
                <w:color w:val="000000"/>
                <w:sz w:val="40"/>
                <w:szCs w:val="40"/>
              </w:rPr>
            </w:pPr>
            <w:r>
              <w:rPr>
                <w:rFonts w:hint="eastAsia" w:ascii="宋体" w:hAnsi="宋体" w:cs="宋体"/>
                <w:b/>
                <w:bCs/>
                <w:color w:val="000000"/>
                <w:kern w:val="0"/>
                <w:sz w:val="40"/>
                <w:szCs w:val="40"/>
              </w:rPr>
              <w:t>分部分项工程和单价措施项目清单与计价表</w:t>
            </w:r>
          </w:p>
        </w:tc>
      </w:tr>
      <w:tr>
        <w:tblPrEx>
          <w:tblCellMar>
            <w:top w:w="0" w:type="dxa"/>
            <w:left w:w="108" w:type="dxa"/>
            <w:bottom w:w="0" w:type="dxa"/>
            <w:right w:w="108" w:type="dxa"/>
          </w:tblCellMar>
        </w:tblPrEx>
        <w:trPr>
          <w:trHeight w:val="90" w:hRule="atLeast"/>
          <w:jc w:val="center"/>
        </w:trPr>
        <w:tc>
          <w:tcPr>
            <w:tcW w:w="6669" w:type="dxa"/>
            <w:gridSpan w:val="6"/>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工程名称：武警茂名支队机动中队综合智慧训练场建设项目（一期）市政</w:t>
            </w:r>
          </w:p>
        </w:tc>
        <w:tc>
          <w:tcPr>
            <w:tcW w:w="898" w:type="dxa"/>
            <w:gridSpan w:val="2"/>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标段：</w:t>
            </w:r>
          </w:p>
        </w:tc>
        <w:tc>
          <w:tcPr>
            <w:tcW w:w="2312" w:type="dxa"/>
            <w:gridSpan w:val="3"/>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20"/>
                <w:szCs w:val="20"/>
              </w:rPr>
            </w:pPr>
            <w:r>
              <w:rPr>
                <w:rFonts w:hint="eastAsia" w:ascii="宋体" w:hAnsi="宋体" w:cs="宋体"/>
                <w:color w:val="000000"/>
                <w:kern w:val="0"/>
                <w:sz w:val="20"/>
                <w:szCs w:val="20"/>
              </w:rPr>
              <w:t>第 1 页  共 3 页</w:t>
            </w:r>
          </w:p>
        </w:tc>
      </w:tr>
      <w:tr>
        <w:tblPrEx>
          <w:tblCellMar>
            <w:top w:w="0" w:type="dxa"/>
            <w:left w:w="108" w:type="dxa"/>
            <w:bottom w:w="0" w:type="dxa"/>
            <w:right w:w="108" w:type="dxa"/>
          </w:tblCellMar>
        </w:tblPrEx>
        <w:trPr>
          <w:trHeight w:val="360" w:hRule="atLeast"/>
          <w:jc w:val="center"/>
        </w:trPr>
        <w:tc>
          <w:tcPr>
            <w:tcW w:w="416"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序号</w:t>
            </w:r>
          </w:p>
        </w:tc>
        <w:tc>
          <w:tcPr>
            <w:tcW w:w="1416"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项目编码</w:t>
            </w:r>
          </w:p>
        </w:tc>
        <w:tc>
          <w:tcPr>
            <w:tcW w:w="168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项目名称</w:t>
            </w:r>
          </w:p>
        </w:tc>
        <w:tc>
          <w:tcPr>
            <w:tcW w:w="2250"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项目特征描述</w:t>
            </w:r>
          </w:p>
        </w:tc>
        <w:tc>
          <w:tcPr>
            <w:tcW w:w="421"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计量单位</w:t>
            </w:r>
          </w:p>
        </w:tc>
        <w:tc>
          <w:tcPr>
            <w:tcW w:w="1027" w:type="dxa"/>
            <w:gridSpan w:val="2"/>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工程量</w:t>
            </w:r>
          </w:p>
        </w:tc>
        <w:tc>
          <w:tcPr>
            <w:tcW w:w="2664" w:type="dxa"/>
            <w:gridSpan w:val="4"/>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金额（元）</w:t>
            </w:r>
          </w:p>
        </w:tc>
      </w:tr>
      <w:tr>
        <w:tblPrEx>
          <w:tblCellMar>
            <w:top w:w="0" w:type="dxa"/>
            <w:left w:w="108" w:type="dxa"/>
            <w:bottom w:w="0" w:type="dxa"/>
            <w:right w:w="108" w:type="dxa"/>
          </w:tblCellMar>
        </w:tblPrEx>
        <w:trPr>
          <w:trHeight w:val="360" w:hRule="atLeast"/>
          <w:jc w:val="center"/>
        </w:trPr>
        <w:tc>
          <w:tcPr>
            <w:tcW w:w="416"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68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25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21"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86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综合单价</w:t>
            </w:r>
          </w:p>
        </w:tc>
        <w:tc>
          <w:tcPr>
            <w:tcW w:w="9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综合合价</w:t>
            </w: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其中</w:t>
            </w:r>
          </w:p>
        </w:tc>
      </w:tr>
      <w:tr>
        <w:tblPrEx>
          <w:tblCellMar>
            <w:top w:w="0" w:type="dxa"/>
            <w:left w:w="108" w:type="dxa"/>
            <w:bottom w:w="0" w:type="dxa"/>
            <w:right w:w="108" w:type="dxa"/>
          </w:tblCellMar>
        </w:tblPrEx>
        <w:trPr>
          <w:trHeight w:val="360" w:hRule="atLeast"/>
          <w:jc w:val="center"/>
        </w:trPr>
        <w:tc>
          <w:tcPr>
            <w:tcW w:w="416"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68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25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21"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8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9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暂估价</w:t>
            </w:r>
          </w:p>
        </w:tc>
      </w:tr>
      <w:tr>
        <w:tblPrEx>
          <w:tblCellMar>
            <w:top w:w="0" w:type="dxa"/>
            <w:left w:w="108" w:type="dxa"/>
            <w:bottom w:w="0" w:type="dxa"/>
            <w:right w:w="108" w:type="dxa"/>
          </w:tblCellMar>
        </w:tblPrEx>
        <w:trPr>
          <w:trHeight w:val="57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整个项目</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040101001001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挖一般土方</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1.土壤类别:挖装一、二类土</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2.余土外运:1km</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m3</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2243.116</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108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040101002001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挖沟槽土方</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1.土壤类别:一、二类土</w:t>
            </w:r>
          </w:p>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2.挖土:机械开挖、人工辅助</w:t>
            </w:r>
          </w:p>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3.机械装土</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4.余土外运:1km</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m3</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818.98</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414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040201022001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排水沟、截水沟</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1、断面尺寸:净空340mm×750mm</w:t>
            </w:r>
          </w:p>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2、基础、垫层：材料品种、厚度:C30商品混凝土,100mm厚</w:t>
            </w:r>
          </w:p>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3、砌体材料:Mu10标准砖,240mm厚</w:t>
            </w:r>
          </w:p>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4、砂浆强度等级:湿拌砌筑砂浆M7.5</w:t>
            </w:r>
          </w:p>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5、盖板材质、规格:600*400*50mm厚预制混凝土盖板</w:t>
            </w:r>
          </w:p>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6、结构及做法:C30商品混凝土压顶</w:t>
            </w:r>
          </w:p>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7、抹灰:湿拌抹灰砂浆M20 抹面,20mm厚</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8、部位:排水沟</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400</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040202001001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路床(槽)整形</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1.部位:运动场碾压</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m2</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9031.6</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040205006001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标线</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1.材料品种:常温溶剂型漆</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2.线型:线宽50mm</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m2</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170.745</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040103001001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回填方</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1.密实度要求:符合设计要求</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2.填方材料品种:原土</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m3</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361.68</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040202011001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碎石</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1.石料规格:石粉</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2.厚度:10cm</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m2</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904.66</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1335"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8</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010401012001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零星砌砖</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1.零星砌砖名称、部位:挡水</w:t>
            </w:r>
          </w:p>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2.砖品种、规格、强度等级:灰砂砖 240×115×53</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3.砂浆强度等级、配合比:湿拌砌筑砂浆M7.5</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m3</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0.402</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9</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010501006001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设备基础</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1.混凝土种类:商品混凝土</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2.混凝土强度等级:C30</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m3</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24.89</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010505001001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有梁板</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1.混凝土种类:商品混凝土</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2.混凝土强度等级:C30</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m3</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8.558</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8083" w:type="dxa"/>
            <w:gridSpan w:val="9"/>
            <w:tcBorders>
              <w:top w:val="single" w:color="000000" w:sz="4" w:space="0"/>
              <w:left w:val="single" w:color="000000" w:sz="8" w:space="0"/>
              <w:bottom w:val="single" w:color="000000" w:sz="8"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本页小计</w:t>
            </w:r>
          </w:p>
        </w:tc>
        <w:tc>
          <w:tcPr>
            <w:tcW w:w="944"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8"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45" w:hRule="atLeast"/>
          <w:jc w:val="center"/>
        </w:trPr>
        <w:tc>
          <w:tcPr>
            <w:tcW w:w="9879" w:type="dxa"/>
            <w:gridSpan w:val="11"/>
            <w:tcBorders>
              <w:top w:val="nil"/>
              <w:left w:val="nil"/>
              <w:bottom w:val="nil"/>
              <w:right w:val="nil"/>
            </w:tcBorders>
            <w:shd w:val="clear" w:color="auto" w:fill="auto"/>
          </w:tcPr>
          <w:p>
            <w:pPr>
              <w:spacing w:line="240" w:lineRule="auto"/>
              <w:jc w:val="left"/>
              <w:textAlignment w:val="top"/>
              <w:rPr>
                <w:rFonts w:ascii="宋体" w:hAnsi="宋体" w:cs="宋体"/>
                <w:color w:val="000000"/>
                <w:sz w:val="18"/>
                <w:szCs w:val="18"/>
              </w:rPr>
            </w:pPr>
            <w:r>
              <w:rPr>
                <w:rFonts w:hint="eastAsia" w:ascii="宋体" w:hAnsi="宋体" w:cs="宋体"/>
                <w:color w:val="000000"/>
                <w:kern w:val="0"/>
                <w:sz w:val="18"/>
                <w:szCs w:val="18"/>
              </w:rPr>
              <w:t>注：为计取规费等的使用，可在表中增设其中：“定额人工费”。</w:t>
            </w:r>
          </w:p>
        </w:tc>
      </w:tr>
      <w:tr>
        <w:tblPrEx>
          <w:tblCellMar>
            <w:top w:w="0" w:type="dxa"/>
            <w:left w:w="108" w:type="dxa"/>
            <w:bottom w:w="0" w:type="dxa"/>
            <w:right w:w="108" w:type="dxa"/>
          </w:tblCellMar>
        </w:tblPrEx>
        <w:trPr>
          <w:trHeight w:val="90" w:hRule="atLeast"/>
          <w:jc w:val="center"/>
        </w:trPr>
        <w:tc>
          <w:tcPr>
            <w:tcW w:w="6669" w:type="dxa"/>
            <w:gridSpan w:val="6"/>
            <w:tcBorders>
              <w:top w:val="nil"/>
              <w:left w:val="nil"/>
              <w:bottom w:val="nil"/>
              <w:right w:val="nil"/>
            </w:tcBorders>
            <w:shd w:val="clear" w:color="auto" w:fill="auto"/>
          </w:tcPr>
          <w:p>
            <w:pPr>
              <w:spacing w:line="240" w:lineRule="auto"/>
              <w:jc w:val="left"/>
              <w:rPr>
                <w:rFonts w:ascii="宋体" w:hAnsi="宋体" w:cs="宋体"/>
                <w:color w:val="000000"/>
                <w:sz w:val="18"/>
                <w:szCs w:val="18"/>
              </w:rPr>
            </w:pPr>
          </w:p>
        </w:tc>
        <w:tc>
          <w:tcPr>
            <w:tcW w:w="898" w:type="dxa"/>
            <w:gridSpan w:val="2"/>
            <w:tcBorders>
              <w:top w:val="nil"/>
              <w:left w:val="nil"/>
              <w:bottom w:val="nil"/>
              <w:right w:val="nil"/>
            </w:tcBorders>
            <w:shd w:val="clear" w:color="auto" w:fill="auto"/>
          </w:tcPr>
          <w:p>
            <w:pPr>
              <w:spacing w:line="240" w:lineRule="auto"/>
              <w:jc w:val="left"/>
              <w:rPr>
                <w:rFonts w:ascii="宋体" w:hAnsi="宋体" w:cs="宋体"/>
                <w:color w:val="000000"/>
                <w:sz w:val="18"/>
                <w:szCs w:val="18"/>
                <w:u w:val="single"/>
              </w:rPr>
            </w:pPr>
          </w:p>
        </w:tc>
        <w:tc>
          <w:tcPr>
            <w:tcW w:w="2312" w:type="dxa"/>
            <w:gridSpan w:val="3"/>
            <w:tcBorders>
              <w:top w:val="nil"/>
              <w:left w:val="nil"/>
              <w:bottom w:val="nil"/>
              <w:right w:val="nil"/>
            </w:tcBorders>
            <w:shd w:val="clear" w:color="auto" w:fill="auto"/>
          </w:tcPr>
          <w:p>
            <w:pPr>
              <w:spacing w:line="240" w:lineRule="auto"/>
              <w:jc w:val="right"/>
              <w:textAlignment w:val="top"/>
              <w:rPr>
                <w:rFonts w:ascii="宋体" w:hAnsi="宋体" w:cs="宋体"/>
                <w:color w:val="000000"/>
                <w:sz w:val="18"/>
                <w:szCs w:val="18"/>
              </w:rPr>
            </w:pPr>
            <w:r>
              <w:rPr>
                <w:rFonts w:hint="eastAsia" w:ascii="宋体" w:hAnsi="宋体" w:cs="宋体"/>
                <w:color w:val="000000"/>
                <w:kern w:val="0"/>
                <w:sz w:val="18"/>
                <w:szCs w:val="18"/>
              </w:rPr>
              <w:t>表—08</w:t>
            </w:r>
          </w:p>
        </w:tc>
      </w:tr>
      <w:tr>
        <w:tblPrEx>
          <w:tblCellMar>
            <w:top w:w="0" w:type="dxa"/>
            <w:left w:w="108" w:type="dxa"/>
            <w:bottom w:w="0" w:type="dxa"/>
            <w:right w:w="108" w:type="dxa"/>
          </w:tblCellMar>
        </w:tblPrEx>
        <w:trPr>
          <w:trHeight w:val="103" w:hRule="atLeast"/>
          <w:jc w:val="center"/>
        </w:trPr>
        <w:tc>
          <w:tcPr>
            <w:tcW w:w="9879" w:type="dxa"/>
            <w:gridSpan w:val="11"/>
            <w:tcBorders>
              <w:top w:val="nil"/>
              <w:left w:val="nil"/>
              <w:bottom w:val="nil"/>
              <w:right w:val="nil"/>
            </w:tcBorders>
            <w:shd w:val="clear" w:color="auto" w:fill="auto"/>
            <w:vAlign w:val="center"/>
          </w:tcPr>
          <w:p>
            <w:pPr>
              <w:spacing w:line="240" w:lineRule="auto"/>
              <w:jc w:val="center"/>
              <w:textAlignment w:val="center"/>
              <w:rPr>
                <w:rFonts w:ascii="宋体" w:hAnsi="宋体" w:cs="宋体"/>
                <w:b/>
                <w:bCs/>
                <w:color w:val="000000"/>
                <w:sz w:val="40"/>
                <w:szCs w:val="40"/>
              </w:rPr>
            </w:pPr>
            <w:r>
              <w:rPr>
                <w:rFonts w:hint="eastAsia" w:ascii="宋体" w:hAnsi="宋体" w:cs="宋体"/>
                <w:b/>
                <w:bCs/>
                <w:color w:val="000000"/>
                <w:kern w:val="0"/>
                <w:sz w:val="40"/>
                <w:szCs w:val="40"/>
              </w:rPr>
              <w:t>分部分项工程和单价措施项目清单与计价表</w:t>
            </w:r>
          </w:p>
        </w:tc>
      </w:tr>
      <w:tr>
        <w:tblPrEx>
          <w:tblCellMar>
            <w:top w:w="0" w:type="dxa"/>
            <w:left w:w="108" w:type="dxa"/>
            <w:bottom w:w="0" w:type="dxa"/>
            <w:right w:w="108" w:type="dxa"/>
          </w:tblCellMar>
        </w:tblPrEx>
        <w:trPr>
          <w:trHeight w:val="90" w:hRule="atLeast"/>
          <w:jc w:val="center"/>
        </w:trPr>
        <w:tc>
          <w:tcPr>
            <w:tcW w:w="6669" w:type="dxa"/>
            <w:gridSpan w:val="6"/>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工程名称：武警茂名支队机动中队综合智慧训练场建设项目（一期）市政</w:t>
            </w:r>
          </w:p>
        </w:tc>
        <w:tc>
          <w:tcPr>
            <w:tcW w:w="898" w:type="dxa"/>
            <w:gridSpan w:val="2"/>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标段：</w:t>
            </w:r>
          </w:p>
        </w:tc>
        <w:tc>
          <w:tcPr>
            <w:tcW w:w="2312" w:type="dxa"/>
            <w:gridSpan w:val="3"/>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20"/>
                <w:szCs w:val="20"/>
              </w:rPr>
            </w:pPr>
            <w:r>
              <w:rPr>
                <w:rFonts w:hint="eastAsia" w:ascii="宋体" w:hAnsi="宋体" w:cs="宋体"/>
                <w:color w:val="000000"/>
                <w:kern w:val="0"/>
                <w:sz w:val="20"/>
                <w:szCs w:val="20"/>
              </w:rPr>
              <w:t>第 2 页  共 3 页</w:t>
            </w:r>
          </w:p>
        </w:tc>
      </w:tr>
      <w:tr>
        <w:tblPrEx>
          <w:tblCellMar>
            <w:top w:w="0" w:type="dxa"/>
            <w:left w:w="108" w:type="dxa"/>
            <w:bottom w:w="0" w:type="dxa"/>
            <w:right w:w="108" w:type="dxa"/>
          </w:tblCellMar>
        </w:tblPrEx>
        <w:trPr>
          <w:trHeight w:val="360" w:hRule="atLeast"/>
          <w:jc w:val="center"/>
        </w:trPr>
        <w:tc>
          <w:tcPr>
            <w:tcW w:w="416"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序号</w:t>
            </w:r>
          </w:p>
        </w:tc>
        <w:tc>
          <w:tcPr>
            <w:tcW w:w="1416"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项目编码</w:t>
            </w:r>
          </w:p>
        </w:tc>
        <w:tc>
          <w:tcPr>
            <w:tcW w:w="168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项目名称</w:t>
            </w:r>
          </w:p>
        </w:tc>
        <w:tc>
          <w:tcPr>
            <w:tcW w:w="2250"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项目特征描述</w:t>
            </w:r>
          </w:p>
        </w:tc>
        <w:tc>
          <w:tcPr>
            <w:tcW w:w="421"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计量单位</w:t>
            </w:r>
          </w:p>
        </w:tc>
        <w:tc>
          <w:tcPr>
            <w:tcW w:w="1027" w:type="dxa"/>
            <w:gridSpan w:val="2"/>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工程量</w:t>
            </w:r>
          </w:p>
        </w:tc>
        <w:tc>
          <w:tcPr>
            <w:tcW w:w="2664" w:type="dxa"/>
            <w:gridSpan w:val="4"/>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金额（元）</w:t>
            </w:r>
          </w:p>
        </w:tc>
      </w:tr>
      <w:tr>
        <w:tblPrEx>
          <w:tblCellMar>
            <w:top w:w="0" w:type="dxa"/>
            <w:left w:w="108" w:type="dxa"/>
            <w:bottom w:w="0" w:type="dxa"/>
            <w:right w:w="108" w:type="dxa"/>
          </w:tblCellMar>
        </w:tblPrEx>
        <w:trPr>
          <w:trHeight w:val="360" w:hRule="atLeast"/>
          <w:jc w:val="center"/>
        </w:trPr>
        <w:tc>
          <w:tcPr>
            <w:tcW w:w="416"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68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25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21"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86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综合单价</w:t>
            </w:r>
          </w:p>
        </w:tc>
        <w:tc>
          <w:tcPr>
            <w:tcW w:w="9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综合合价</w:t>
            </w: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其中</w:t>
            </w:r>
          </w:p>
        </w:tc>
      </w:tr>
      <w:tr>
        <w:tblPrEx>
          <w:tblCellMar>
            <w:top w:w="0" w:type="dxa"/>
            <w:left w:w="108" w:type="dxa"/>
            <w:bottom w:w="0" w:type="dxa"/>
            <w:right w:w="108" w:type="dxa"/>
          </w:tblCellMar>
        </w:tblPrEx>
        <w:trPr>
          <w:trHeight w:val="570" w:hRule="atLeast"/>
          <w:jc w:val="center"/>
        </w:trPr>
        <w:tc>
          <w:tcPr>
            <w:tcW w:w="416"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68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25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21"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8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9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暂估价</w:t>
            </w:r>
          </w:p>
        </w:tc>
      </w:tr>
      <w:tr>
        <w:tblPrEx>
          <w:tblCellMar>
            <w:top w:w="0" w:type="dxa"/>
            <w:left w:w="108" w:type="dxa"/>
            <w:bottom w:w="0" w:type="dxa"/>
            <w:right w:w="108" w:type="dxa"/>
          </w:tblCellMar>
        </w:tblPrEx>
        <w:trPr>
          <w:trHeight w:val="57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040203007001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水泥混凝土</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1.混凝土强度等级:C30</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2.厚度:15cm</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m2</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9116.6</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825"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12</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040203009001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弹性面层</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1.材料品种:彩色EPDM橡胶颗粒地垫 （新国际）</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2.厚度:15mm</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m2</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3378.6</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825"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13</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040203009002</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弹性面层</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1.材料品种:人造草坪（不含石英砂）</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2.厚度:40mm</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m2</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8748.8</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14</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011201001001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墙面一般抹灰</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1.面层厚度、砂浆配合比:5mm聚合物水泥防水砂浆</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m2</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7.37</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15</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011201001002</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墙面一般抹灰</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1.面层厚度、砂浆配合比:20mm湿拌抹灰砂浆M20</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m2</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261.025</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16</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011501017001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户外集装箱机房</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1.台柜规格:户外集装箱机房4000*3000*3000</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个</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825"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17</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011507001001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平面、箱式招牌</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1.箱体规格:12.56x7.12x0.6m</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2.基层材料种类:镀锌方通</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m2</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53.6563</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825"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18</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011601001001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砖砌体拆除</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1.砌体名称:砖墙</w:t>
            </w:r>
          </w:p>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2.拆除高度:30mm</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3.拆除料外运:7km</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m3</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3.1896</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108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19</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011604002001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立面抹灰层拆除</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1.拆除部位:壕沟墙面</w:t>
            </w:r>
          </w:p>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2.抹灰层种类:30mm水泥砂浆层</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3.拆除料外运:7km</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m2</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132.9</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011615001001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轮胎摆放</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1.部位:轮胎堆叠成形</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个</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4943</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010103001001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回填方</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1.填方材料品种:砂</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m3</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192</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825"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22</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010603002001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空腹钢柱</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1.柱类型:企柱</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2.钢材品种、规格:镀锌钢管600*12mm</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t</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0.8701</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23</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010606013001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零星钢构件</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1.构件名称:垫板</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2.钢材品种、规格:钢板30mm</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t</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0.3496</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24</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010516001001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螺栓</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1.螺栓种类:地脚螺栓</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2.规格:M30*1500</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t</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0.1998</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25</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010515001001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现浇构件钢筋</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1.钢筋种类、规格:Φ16 三级钢</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t</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0.5896</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措施项目</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8083" w:type="dxa"/>
            <w:gridSpan w:val="9"/>
            <w:tcBorders>
              <w:top w:val="single" w:color="000000" w:sz="4" w:space="0"/>
              <w:left w:val="single" w:color="000000" w:sz="8" w:space="0"/>
              <w:bottom w:val="single" w:color="000000" w:sz="8"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本页小计</w:t>
            </w:r>
          </w:p>
        </w:tc>
        <w:tc>
          <w:tcPr>
            <w:tcW w:w="944"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8"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45" w:hRule="atLeast"/>
          <w:jc w:val="center"/>
        </w:trPr>
        <w:tc>
          <w:tcPr>
            <w:tcW w:w="9879" w:type="dxa"/>
            <w:gridSpan w:val="11"/>
            <w:tcBorders>
              <w:top w:val="nil"/>
              <w:left w:val="nil"/>
              <w:bottom w:val="nil"/>
              <w:right w:val="nil"/>
            </w:tcBorders>
            <w:shd w:val="clear" w:color="auto" w:fill="auto"/>
          </w:tcPr>
          <w:p>
            <w:pPr>
              <w:spacing w:line="240" w:lineRule="auto"/>
              <w:jc w:val="left"/>
              <w:textAlignment w:val="top"/>
              <w:rPr>
                <w:rFonts w:ascii="宋体" w:hAnsi="宋体" w:cs="宋体"/>
                <w:color w:val="000000"/>
                <w:sz w:val="18"/>
                <w:szCs w:val="18"/>
              </w:rPr>
            </w:pPr>
            <w:r>
              <w:rPr>
                <w:rFonts w:hint="eastAsia" w:ascii="宋体" w:hAnsi="宋体" w:cs="宋体"/>
                <w:color w:val="000000"/>
                <w:kern w:val="0"/>
                <w:sz w:val="18"/>
                <w:szCs w:val="18"/>
              </w:rPr>
              <w:t>注：为计取规费等的使用，可在表中增设其中：“定额人工费”。</w:t>
            </w:r>
          </w:p>
        </w:tc>
      </w:tr>
      <w:tr>
        <w:tblPrEx>
          <w:tblCellMar>
            <w:top w:w="0" w:type="dxa"/>
            <w:left w:w="108" w:type="dxa"/>
            <w:bottom w:w="0" w:type="dxa"/>
            <w:right w:w="108" w:type="dxa"/>
          </w:tblCellMar>
        </w:tblPrEx>
        <w:trPr>
          <w:trHeight w:val="90" w:hRule="atLeast"/>
          <w:jc w:val="center"/>
        </w:trPr>
        <w:tc>
          <w:tcPr>
            <w:tcW w:w="6669" w:type="dxa"/>
            <w:gridSpan w:val="6"/>
            <w:tcBorders>
              <w:top w:val="nil"/>
              <w:left w:val="nil"/>
              <w:bottom w:val="nil"/>
              <w:right w:val="nil"/>
            </w:tcBorders>
            <w:shd w:val="clear" w:color="auto" w:fill="auto"/>
          </w:tcPr>
          <w:p>
            <w:pPr>
              <w:spacing w:line="240" w:lineRule="auto"/>
              <w:jc w:val="left"/>
              <w:rPr>
                <w:rFonts w:ascii="宋体" w:hAnsi="宋体" w:cs="宋体"/>
                <w:color w:val="000000"/>
                <w:sz w:val="18"/>
                <w:szCs w:val="18"/>
              </w:rPr>
            </w:pPr>
          </w:p>
        </w:tc>
        <w:tc>
          <w:tcPr>
            <w:tcW w:w="898" w:type="dxa"/>
            <w:gridSpan w:val="2"/>
            <w:tcBorders>
              <w:top w:val="nil"/>
              <w:left w:val="nil"/>
              <w:bottom w:val="nil"/>
              <w:right w:val="nil"/>
            </w:tcBorders>
            <w:shd w:val="clear" w:color="auto" w:fill="auto"/>
          </w:tcPr>
          <w:p>
            <w:pPr>
              <w:spacing w:line="240" w:lineRule="auto"/>
              <w:jc w:val="left"/>
              <w:rPr>
                <w:rFonts w:ascii="宋体" w:hAnsi="宋体" w:cs="宋体"/>
                <w:color w:val="000000"/>
                <w:sz w:val="18"/>
                <w:szCs w:val="18"/>
                <w:u w:val="single"/>
              </w:rPr>
            </w:pPr>
          </w:p>
        </w:tc>
        <w:tc>
          <w:tcPr>
            <w:tcW w:w="2312" w:type="dxa"/>
            <w:gridSpan w:val="3"/>
            <w:tcBorders>
              <w:top w:val="nil"/>
              <w:left w:val="nil"/>
              <w:bottom w:val="nil"/>
              <w:right w:val="nil"/>
            </w:tcBorders>
            <w:shd w:val="clear" w:color="auto" w:fill="auto"/>
          </w:tcPr>
          <w:p>
            <w:pPr>
              <w:spacing w:line="240" w:lineRule="auto"/>
              <w:jc w:val="right"/>
              <w:textAlignment w:val="top"/>
              <w:rPr>
                <w:rFonts w:ascii="宋体" w:hAnsi="宋体" w:cs="宋体"/>
                <w:color w:val="000000"/>
                <w:sz w:val="18"/>
                <w:szCs w:val="18"/>
              </w:rPr>
            </w:pPr>
            <w:r>
              <w:rPr>
                <w:rFonts w:hint="eastAsia" w:ascii="宋体" w:hAnsi="宋体" w:cs="宋体"/>
                <w:color w:val="000000"/>
                <w:kern w:val="0"/>
                <w:sz w:val="18"/>
                <w:szCs w:val="18"/>
              </w:rPr>
              <w:t>表—08</w:t>
            </w:r>
          </w:p>
        </w:tc>
      </w:tr>
      <w:tr>
        <w:tblPrEx>
          <w:tblCellMar>
            <w:top w:w="0" w:type="dxa"/>
            <w:left w:w="108" w:type="dxa"/>
            <w:bottom w:w="0" w:type="dxa"/>
            <w:right w:w="108" w:type="dxa"/>
          </w:tblCellMar>
        </w:tblPrEx>
        <w:trPr>
          <w:trHeight w:val="90" w:hRule="atLeast"/>
          <w:jc w:val="center"/>
        </w:trPr>
        <w:tc>
          <w:tcPr>
            <w:tcW w:w="9879" w:type="dxa"/>
            <w:gridSpan w:val="11"/>
            <w:tcBorders>
              <w:top w:val="nil"/>
              <w:left w:val="nil"/>
              <w:bottom w:val="nil"/>
              <w:right w:val="nil"/>
            </w:tcBorders>
            <w:shd w:val="clear" w:color="auto" w:fill="auto"/>
            <w:vAlign w:val="center"/>
          </w:tcPr>
          <w:p>
            <w:pPr>
              <w:spacing w:line="240" w:lineRule="auto"/>
              <w:jc w:val="center"/>
              <w:textAlignment w:val="center"/>
              <w:rPr>
                <w:rFonts w:ascii="宋体" w:hAnsi="宋体" w:cs="宋体"/>
                <w:b/>
                <w:bCs/>
                <w:color w:val="000000"/>
                <w:sz w:val="40"/>
                <w:szCs w:val="40"/>
              </w:rPr>
            </w:pPr>
            <w:r>
              <w:rPr>
                <w:rFonts w:hint="eastAsia" w:ascii="宋体" w:hAnsi="宋体" w:cs="宋体"/>
                <w:b/>
                <w:bCs/>
                <w:color w:val="000000"/>
                <w:kern w:val="0"/>
                <w:sz w:val="40"/>
                <w:szCs w:val="40"/>
              </w:rPr>
              <w:t>分部分项工程和单价措施项目清单与计价表</w:t>
            </w:r>
          </w:p>
        </w:tc>
      </w:tr>
      <w:tr>
        <w:tblPrEx>
          <w:tblCellMar>
            <w:top w:w="0" w:type="dxa"/>
            <w:left w:w="108" w:type="dxa"/>
            <w:bottom w:w="0" w:type="dxa"/>
            <w:right w:w="108" w:type="dxa"/>
          </w:tblCellMar>
        </w:tblPrEx>
        <w:trPr>
          <w:trHeight w:val="90" w:hRule="atLeast"/>
          <w:jc w:val="center"/>
        </w:trPr>
        <w:tc>
          <w:tcPr>
            <w:tcW w:w="6669" w:type="dxa"/>
            <w:gridSpan w:val="6"/>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工程名称：武警茂名支队机动中队综合智慧训练场建设项目（一期）市政</w:t>
            </w:r>
          </w:p>
        </w:tc>
        <w:tc>
          <w:tcPr>
            <w:tcW w:w="898" w:type="dxa"/>
            <w:gridSpan w:val="2"/>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标段：</w:t>
            </w:r>
          </w:p>
        </w:tc>
        <w:tc>
          <w:tcPr>
            <w:tcW w:w="2312" w:type="dxa"/>
            <w:gridSpan w:val="3"/>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20"/>
                <w:szCs w:val="20"/>
              </w:rPr>
            </w:pPr>
            <w:r>
              <w:rPr>
                <w:rFonts w:hint="eastAsia" w:ascii="宋体" w:hAnsi="宋体" w:cs="宋体"/>
                <w:color w:val="000000"/>
                <w:kern w:val="0"/>
                <w:sz w:val="20"/>
                <w:szCs w:val="20"/>
              </w:rPr>
              <w:t>第 3 页  共 3 页</w:t>
            </w:r>
          </w:p>
        </w:tc>
      </w:tr>
      <w:tr>
        <w:tblPrEx>
          <w:tblCellMar>
            <w:top w:w="0" w:type="dxa"/>
            <w:left w:w="108" w:type="dxa"/>
            <w:bottom w:w="0" w:type="dxa"/>
            <w:right w:w="108" w:type="dxa"/>
          </w:tblCellMar>
        </w:tblPrEx>
        <w:trPr>
          <w:trHeight w:val="363" w:hRule="atLeast"/>
          <w:jc w:val="center"/>
        </w:trPr>
        <w:tc>
          <w:tcPr>
            <w:tcW w:w="416"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序号</w:t>
            </w:r>
          </w:p>
        </w:tc>
        <w:tc>
          <w:tcPr>
            <w:tcW w:w="1416"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项目编码</w:t>
            </w:r>
          </w:p>
        </w:tc>
        <w:tc>
          <w:tcPr>
            <w:tcW w:w="168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项目名称</w:t>
            </w:r>
          </w:p>
        </w:tc>
        <w:tc>
          <w:tcPr>
            <w:tcW w:w="2250"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项目特征描述</w:t>
            </w:r>
          </w:p>
        </w:tc>
        <w:tc>
          <w:tcPr>
            <w:tcW w:w="421"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计量单位</w:t>
            </w:r>
          </w:p>
        </w:tc>
        <w:tc>
          <w:tcPr>
            <w:tcW w:w="1027" w:type="dxa"/>
            <w:gridSpan w:val="2"/>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工程量</w:t>
            </w:r>
          </w:p>
        </w:tc>
        <w:tc>
          <w:tcPr>
            <w:tcW w:w="2664" w:type="dxa"/>
            <w:gridSpan w:val="4"/>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金额（元）</w:t>
            </w:r>
          </w:p>
        </w:tc>
      </w:tr>
      <w:tr>
        <w:tblPrEx>
          <w:tblCellMar>
            <w:top w:w="0" w:type="dxa"/>
            <w:left w:w="108" w:type="dxa"/>
            <w:bottom w:w="0" w:type="dxa"/>
            <w:right w:w="108" w:type="dxa"/>
          </w:tblCellMar>
        </w:tblPrEx>
        <w:trPr>
          <w:trHeight w:val="360" w:hRule="atLeast"/>
          <w:jc w:val="center"/>
        </w:trPr>
        <w:tc>
          <w:tcPr>
            <w:tcW w:w="416"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68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25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21"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86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综合单价</w:t>
            </w:r>
          </w:p>
        </w:tc>
        <w:tc>
          <w:tcPr>
            <w:tcW w:w="9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综合合价</w:t>
            </w: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其中</w:t>
            </w:r>
          </w:p>
        </w:tc>
      </w:tr>
      <w:tr>
        <w:tblPrEx>
          <w:tblCellMar>
            <w:top w:w="0" w:type="dxa"/>
            <w:left w:w="108" w:type="dxa"/>
            <w:bottom w:w="0" w:type="dxa"/>
            <w:right w:w="108" w:type="dxa"/>
          </w:tblCellMar>
        </w:tblPrEx>
        <w:trPr>
          <w:trHeight w:val="570" w:hRule="atLeast"/>
          <w:jc w:val="center"/>
        </w:trPr>
        <w:tc>
          <w:tcPr>
            <w:tcW w:w="416"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68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25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21"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8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9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暂估价</w:t>
            </w: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26</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粤011701008001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综合钢脚手架</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1.搭设高度:9m</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m2</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r>
              <w:rPr>
                <w:rFonts w:hint="eastAsia" w:ascii="宋体" w:hAnsi="宋体" w:cs="宋体"/>
                <w:kern w:val="0"/>
                <w:sz w:val="20"/>
                <w:szCs w:val="20"/>
              </w:rPr>
              <w:t>109.44</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r>
              <w:rPr>
                <w:rFonts w:hint="eastAsia" w:ascii="宋体" w:hAnsi="宋体" w:cs="宋体"/>
                <w:kern w:val="0"/>
                <w:sz w:val="20"/>
                <w:szCs w:val="20"/>
              </w:rPr>
              <w:t>22.53</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r>
              <w:rPr>
                <w:rFonts w:hint="eastAsia" w:ascii="宋体" w:hAnsi="宋体" w:cs="宋体"/>
                <w:kern w:val="0"/>
                <w:sz w:val="20"/>
                <w:szCs w:val="20"/>
              </w:rPr>
              <w:t>2465.68</w:t>
            </w: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27</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011702001001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基础</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1.基础类型:设备基础</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m2</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55.3</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FF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FF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28</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011702014001</w:t>
            </w: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有梁板</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1.支撑高度:3.6</w:t>
            </w: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m2</w:t>
            </w: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85.58</w:t>
            </w: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FF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FF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1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8083" w:type="dxa"/>
            <w:gridSpan w:val="9"/>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本页小计</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8083" w:type="dxa"/>
            <w:gridSpan w:val="9"/>
            <w:tcBorders>
              <w:top w:val="single" w:color="000000" w:sz="4" w:space="0"/>
              <w:left w:val="single" w:color="000000" w:sz="8" w:space="0"/>
              <w:bottom w:val="single" w:color="000000" w:sz="8"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合   计</w:t>
            </w:r>
          </w:p>
        </w:tc>
        <w:tc>
          <w:tcPr>
            <w:tcW w:w="944"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852" w:type="dxa"/>
            <w:tcBorders>
              <w:top w:val="single" w:color="000000" w:sz="4" w:space="0"/>
              <w:left w:val="single" w:color="000000" w:sz="4" w:space="0"/>
              <w:bottom w:val="single" w:color="000000" w:sz="8"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45" w:hRule="atLeast"/>
          <w:jc w:val="center"/>
        </w:trPr>
        <w:tc>
          <w:tcPr>
            <w:tcW w:w="9879" w:type="dxa"/>
            <w:gridSpan w:val="11"/>
            <w:tcBorders>
              <w:top w:val="nil"/>
              <w:left w:val="nil"/>
              <w:bottom w:val="nil"/>
              <w:right w:val="nil"/>
            </w:tcBorders>
            <w:shd w:val="clear" w:color="auto" w:fill="auto"/>
          </w:tcPr>
          <w:p>
            <w:pPr>
              <w:spacing w:line="240" w:lineRule="auto"/>
              <w:jc w:val="left"/>
              <w:textAlignment w:val="top"/>
              <w:rPr>
                <w:rFonts w:ascii="宋体" w:hAnsi="宋体" w:cs="宋体"/>
                <w:color w:val="000000"/>
                <w:sz w:val="18"/>
                <w:szCs w:val="18"/>
              </w:rPr>
            </w:pPr>
            <w:r>
              <w:rPr>
                <w:rFonts w:hint="eastAsia" w:ascii="宋体" w:hAnsi="宋体" w:cs="宋体"/>
                <w:color w:val="000000"/>
                <w:kern w:val="0"/>
                <w:sz w:val="18"/>
                <w:szCs w:val="18"/>
              </w:rPr>
              <w:t>注：为计取规费等的使用，可在表中增设其中：“定额人工费”。</w:t>
            </w:r>
          </w:p>
        </w:tc>
      </w:tr>
      <w:tr>
        <w:tblPrEx>
          <w:tblCellMar>
            <w:top w:w="0" w:type="dxa"/>
            <w:left w:w="108" w:type="dxa"/>
            <w:bottom w:w="0" w:type="dxa"/>
            <w:right w:w="108" w:type="dxa"/>
          </w:tblCellMar>
        </w:tblPrEx>
        <w:trPr>
          <w:trHeight w:val="345" w:hRule="atLeast"/>
          <w:jc w:val="center"/>
        </w:trPr>
        <w:tc>
          <w:tcPr>
            <w:tcW w:w="6669" w:type="dxa"/>
            <w:gridSpan w:val="6"/>
            <w:tcBorders>
              <w:top w:val="nil"/>
              <w:left w:val="nil"/>
              <w:bottom w:val="nil"/>
              <w:right w:val="nil"/>
            </w:tcBorders>
            <w:shd w:val="clear" w:color="auto" w:fill="auto"/>
          </w:tcPr>
          <w:p>
            <w:pPr>
              <w:spacing w:line="240" w:lineRule="auto"/>
              <w:jc w:val="left"/>
              <w:rPr>
                <w:rFonts w:ascii="宋体" w:hAnsi="宋体" w:cs="宋体"/>
                <w:color w:val="000000"/>
                <w:sz w:val="18"/>
                <w:szCs w:val="18"/>
              </w:rPr>
            </w:pPr>
          </w:p>
        </w:tc>
        <w:tc>
          <w:tcPr>
            <w:tcW w:w="898" w:type="dxa"/>
            <w:gridSpan w:val="2"/>
            <w:tcBorders>
              <w:top w:val="nil"/>
              <w:left w:val="nil"/>
              <w:bottom w:val="nil"/>
              <w:right w:val="nil"/>
            </w:tcBorders>
            <w:shd w:val="clear" w:color="auto" w:fill="auto"/>
          </w:tcPr>
          <w:p>
            <w:pPr>
              <w:spacing w:line="240" w:lineRule="auto"/>
              <w:jc w:val="left"/>
              <w:rPr>
                <w:rFonts w:ascii="宋体" w:hAnsi="宋体" w:cs="宋体"/>
                <w:color w:val="000000"/>
                <w:sz w:val="18"/>
                <w:szCs w:val="18"/>
                <w:u w:val="single"/>
              </w:rPr>
            </w:pPr>
          </w:p>
        </w:tc>
        <w:tc>
          <w:tcPr>
            <w:tcW w:w="2312" w:type="dxa"/>
            <w:gridSpan w:val="3"/>
            <w:tcBorders>
              <w:top w:val="nil"/>
              <w:left w:val="nil"/>
              <w:bottom w:val="nil"/>
              <w:right w:val="nil"/>
            </w:tcBorders>
            <w:shd w:val="clear" w:color="auto" w:fill="auto"/>
          </w:tcPr>
          <w:p>
            <w:pPr>
              <w:spacing w:line="240" w:lineRule="auto"/>
              <w:jc w:val="right"/>
              <w:textAlignment w:val="top"/>
              <w:rPr>
                <w:rFonts w:ascii="宋体" w:hAnsi="宋体" w:cs="宋体"/>
                <w:color w:val="000000"/>
                <w:sz w:val="18"/>
                <w:szCs w:val="18"/>
              </w:rPr>
            </w:pPr>
            <w:r>
              <w:rPr>
                <w:rFonts w:hint="eastAsia" w:ascii="宋体" w:hAnsi="宋体" w:cs="宋体"/>
                <w:color w:val="000000"/>
                <w:kern w:val="0"/>
                <w:sz w:val="18"/>
                <w:szCs w:val="18"/>
              </w:rPr>
              <w:t>表—08</w:t>
            </w:r>
          </w:p>
        </w:tc>
      </w:tr>
    </w:tbl>
    <w:p>
      <w:pPr>
        <w:pStyle w:val="47"/>
        <w:ind w:firstLine="192"/>
      </w:pPr>
    </w:p>
    <w:tbl>
      <w:tblPr>
        <w:tblStyle w:val="49"/>
        <w:tblW w:w="0" w:type="auto"/>
        <w:jc w:val="center"/>
        <w:tblLayout w:type="autofit"/>
        <w:tblCellMar>
          <w:top w:w="0" w:type="dxa"/>
          <w:left w:w="108" w:type="dxa"/>
          <w:bottom w:w="0" w:type="dxa"/>
          <w:right w:w="108" w:type="dxa"/>
        </w:tblCellMar>
      </w:tblPr>
      <w:tblGrid>
        <w:gridCol w:w="445"/>
        <w:gridCol w:w="1399"/>
        <w:gridCol w:w="1241"/>
        <w:gridCol w:w="1252"/>
        <w:gridCol w:w="604"/>
        <w:gridCol w:w="946"/>
        <w:gridCol w:w="535"/>
        <w:gridCol w:w="626"/>
        <w:gridCol w:w="1989"/>
      </w:tblGrid>
      <w:tr>
        <w:tblPrEx>
          <w:tblCellMar>
            <w:top w:w="0" w:type="dxa"/>
            <w:left w:w="108" w:type="dxa"/>
            <w:bottom w:w="0" w:type="dxa"/>
            <w:right w:w="108" w:type="dxa"/>
          </w:tblCellMar>
        </w:tblPrEx>
        <w:trPr>
          <w:trHeight w:val="90" w:hRule="atLeast"/>
          <w:jc w:val="center"/>
        </w:trPr>
        <w:tc>
          <w:tcPr>
            <w:tcW w:w="0" w:type="auto"/>
            <w:gridSpan w:val="9"/>
            <w:tcBorders>
              <w:top w:val="nil"/>
              <w:left w:val="nil"/>
              <w:bottom w:val="nil"/>
              <w:right w:val="nil"/>
            </w:tcBorders>
            <w:shd w:val="clear" w:color="auto" w:fill="auto"/>
            <w:vAlign w:val="center"/>
          </w:tcPr>
          <w:p>
            <w:pPr>
              <w:spacing w:line="240" w:lineRule="auto"/>
              <w:jc w:val="center"/>
              <w:textAlignment w:val="center"/>
              <w:rPr>
                <w:rFonts w:ascii="宋体" w:hAnsi="宋体" w:cs="宋体"/>
                <w:b/>
                <w:bCs/>
                <w:color w:val="000000"/>
                <w:sz w:val="40"/>
                <w:szCs w:val="40"/>
              </w:rPr>
            </w:pPr>
            <w:r>
              <w:rPr>
                <w:rFonts w:hint="eastAsia" w:ascii="宋体" w:hAnsi="宋体" w:cs="宋体"/>
                <w:b/>
                <w:bCs/>
                <w:color w:val="000000"/>
                <w:kern w:val="0"/>
                <w:sz w:val="40"/>
                <w:szCs w:val="40"/>
              </w:rPr>
              <w:t>总价措施项目清单与计价表</w:t>
            </w:r>
          </w:p>
        </w:tc>
      </w:tr>
      <w:tr>
        <w:tblPrEx>
          <w:tblCellMar>
            <w:top w:w="0" w:type="dxa"/>
            <w:left w:w="108" w:type="dxa"/>
            <w:bottom w:w="0" w:type="dxa"/>
            <w:right w:w="108" w:type="dxa"/>
          </w:tblCellMar>
        </w:tblPrEx>
        <w:trPr>
          <w:trHeight w:val="90" w:hRule="atLeast"/>
          <w:jc w:val="center"/>
        </w:trPr>
        <w:tc>
          <w:tcPr>
            <w:tcW w:w="0" w:type="auto"/>
            <w:gridSpan w:val="5"/>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工程名称：武警茂名支队机动中队综合智慧训练场建设项目（一期）市政</w:t>
            </w:r>
          </w:p>
        </w:tc>
        <w:tc>
          <w:tcPr>
            <w:tcW w:w="0" w:type="auto"/>
            <w:gridSpan w:val="2"/>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标段：</w:t>
            </w:r>
          </w:p>
        </w:tc>
        <w:tc>
          <w:tcPr>
            <w:tcW w:w="0" w:type="auto"/>
            <w:gridSpan w:val="2"/>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20"/>
                <w:szCs w:val="20"/>
              </w:rPr>
            </w:pPr>
            <w:r>
              <w:rPr>
                <w:rFonts w:hint="eastAsia" w:ascii="宋体" w:hAnsi="宋体" w:cs="宋体"/>
                <w:color w:val="000000"/>
                <w:kern w:val="0"/>
                <w:sz w:val="20"/>
                <w:szCs w:val="20"/>
              </w:rPr>
              <w:t>第 1 页  共 2 页</w:t>
            </w:r>
          </w:p>
        </w:tc>
      </w:tr>
      <w:tr>
        <w:tblPrEx>
          <w:tblCellMar>
            <w:top w:w="0" w:type="dxa"/>
            <w:left w:w="108" w:type="dxa"/>
            <w:bottom w:w="0" w:type="dxa"/>
            <w:right w:w="108" w:type="dxa"/>
          </w:tblCellMar>
        </w:tblPrEx>
        <w:trPr>
          <w:trHeight w:val="570" w:hRule="atLeast"/>
          <w:jc w:val="center"/>
        </w:trPr>
        <w:tc>
          <w:tcPr>
            <w:tcW w:w="0" w:type="auto"/>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序号</w:t>
            </w:r>
          </w:p>
        </w:tc>
        <w:tc>
          <w:tcPr>
            <w:tcW w:w="0" w:type="auto"/>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项目编码</w:t>
            </w:r>
          </w:p>
        </w:tc>
        <w:tc>
          <w:tcPr>
            <w:tcW w:w="942"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项目名称</w:t>
            </w:r>
          </w:p>
        </w:tc>
        <w:tc>
          <w:tcPr>
            <w:tcW w:w="950"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计算基础</w:t>
            </w:r>
          </w:p>
        </w:tc>
        <w:tc>
          <w:tcPr>
            <w:tcW w:w="0" w:type="auto"/>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费率</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0" w:type="auto"/>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金额</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(元)</w:t>
            </w:r>
          </w:p>
        </w:tc>
        <w:tc>
          <w:tcPr>
            <w:tcW w:w="0" w:type="auto"/>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调整</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费率(%)</w:t>
            </w:r>
          </w:p>
        </w:tc>
        <w:tc>
          <w:tcPr>
            <w:tcW w:w="0" w:type="auto"/>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调整后</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金额(元)</w:t>
            </w:r>
          </w:p>
        </w:tc>
        <w:tc>
          <w:tcPr>
            <w:tcW w:w="0" w:type="auto"/>
            <w:tcBorders>
              <w:top w:val="single" w:color="000000" w:sz="8"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备注</w:t>
            </w:r>
          </w:p>
        </w:tc>
      </w:tr>
      <w:tr>
        <w:tblPrEx>
          <w:tblCellMar>
            <w:top w:w="0" w:type="dxa"/>
            <w:left w:w="108" w:type="dxa"/>
            <w:bottom w:w="0" w:type="dxa"/>
            <w:right w:w="108" w:type="dxa"/>
          </w:tblCellMar>
        </w:tblPrEx>
        <w:trPr>
          <w:trHeight w:val="3303"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LSSGCSF00001</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绿色施工安全防护措施费</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分部分项人工费+分部分项机具费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94885.35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以分部分项的人工费与施工机具费之和为计算基础；以专业工程类型区分不同费率计算；</w:t>
            </w:r>
          </w:p>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单独场地平整工程费率为4.35%；</w:t>
            </w:r>
          </w:p>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道路、管网工程费率为16.50%；</w:t>
            </w:r>
          </w:p>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桥涵、隧道、水处理构筑物工程费率为14.50%；</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分部分项工程总费用在300 万元以内（含300 万元）的项目按基本费率乘以1.20；</w:t>
            </w:r>
          </w:p>
        </w:tc>
      </w:tr>
      <w:tr>
        <w:tblPrEx>
          <w:tblCellMar>
            <w:top w:w="0" w:type="dxa"/>
            <w:left w:w="108" w:type="dxa"/>
            <w:bottom w:w="0" w:type="dxa"/>
            <w:right w:w="108" w:type="dxa"/>
          </w:tblCellMar>
        </w:tblPrEx>
        <w:trPr>
          <w:trHeight w:val="9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粤041109009001</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文明工地增加费</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分部分项人工费+分部分项机具费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以分部分项的人工费与施工机具费之和为计算基础；市级文明工地0.60%；省级文明工地1.20%</w:t>
            </w:r>
          </w:p>
        </w:tc>
      </w:tr>
      <w:tr>
        <w:tblPrEx>
          <w:tblCellMar>
            <w:top w:w="0" w:type="dxa"/>
            <w:left w:w="108" w:type="dxa"/>
            <w:bottom w:w="0" w:type="dxa"/>
            <w:right w:w="108" w:type="dxa"/>
          </w:tblCellMar>
        </w:tblPrEx>
        <w:trPr>
          <w:trHeight w:val="9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041109002001</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夜间施工增加费</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以夜间施工项目人工费的20%计算</w:t>
            </w:r>
          </w:p>
        </w:tc>
      </w:tr>
      <w:tr>
        <w:tblPrEx>
          <w:tblCellMar>
            <w:top w:w="0" w:type="dxa"/>
            <w:left w:w="108" w:type="dxa"/>
            <w:bottom w:w="0" w:type="dxa"/>
            <w:right w:w="108" w:type="dxa"/>
          </w:tblCellMar>
        </w:tblPrEx>
        <w:trPr>
          <w:trHeight w:val="90" w:hRule="atLeast"/>
          <w:jc w:val="center"/>
        </w:trPr>
        <w:tc>
          <w:tcPr>
            <w:tcW w:w="0" w:type="auto"/>
            <w:tcBorders>
              <w:top w:val="single" w:color="000000" w:sz="4" w:space="0"/>
              <w:left w:val="single" w:color="000000" w:sz="8" w:space="0"/>
              <w:bottom w:val="single" w:color="000000" w:sz="8"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0" w:type="auto"/>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041109005001</w:t>
            </w:r>
          </w:p>
        </w:tc>
        <w:tc>
          <w:tcPr>
            <w:tcW w:w="942"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交通疏解员增加费</w:t>
            </w:r>
          </w:p>
        </w:tc>
        <w:tc>
          <w:tcPr>
            <w:tcW w:w="950"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15</w:t>
            </w:r>
          </w:p>
        </w:tc>
        <w:tc>
          <w:tcPr>
            <w:tcW w:w="0" w:type="auto"/>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8"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按照项目分部分项人工费的15%计算（有方案的按照方案计算），</w:t>
            </w:r>
          </w:p>
        </w:tc>
      </w:tr>
      <w:tr>
        <w:tblPrEx>
          <w:tblCellMar>
            <w:top w:w="0" w:type="dxa"/>
            <w:left w:w="108" w:type="dxa"/>
            <w:bottom w:w="0" w:type="dxa"/>
            <w:right w:w="108" w:type="dxa"/>
          </w:tblCellMar>
        </w:tblPrEx>
        <w:trPr>
          <w:trHeight w:val="90" w:hRule="atLeast"/>
          <w:jc w:val="center"/>
        </w:trPr>
        <w:tc>
          <w:tcPr>
            <w:tcW w:w="0" w:type="auto"/>
            <w:gridSpan w:val="5"/>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18"/>
                <w:szCs w:val="18"/>
              </w:rPr>
            </w:pPr>
            <w:r>
              <w:rPr>
                <w:rFonts w:hint="eastAsia" w:ascii="宋体" w:hAnsi="宋体" w:cs="宋体"/>
                <w:color w:val="000000"/>
                <w:kern w:val="0"/>
                <w:sz w:val="18"/>
                <w:szCs w:val="18"/>
              </w:rPr>
              <w:t>编制人（造价人员）：</w:t>
            </w:r>
          </w:p>
        </w:tc>
        <w:tc>
          <w:tcPr>
            <w:tcW w:w="0" w:type="auto"/>
            <w:gridSpan w:val="4"/>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18"/>
                <w:szCs w:val="18"/>
              </w:rPr>
            </w:pPr>
            <w:r>
              <w:rPr>
                <w:rFonts w:hint="eastAsia" w:ascii="宋体" w:hAnsi="宋体" w:cs="宋体"/>
                <w:color w:val="000000"/>
                <w:kern w:val="0"/>
                <w:sz w:val="18"/>
                <w:szCs w:val="18"/>
              </w:rPr>
              <w:t>复核人（造价工程师）：</w:t>
            </w:r>
          </w:p>
        </w:tc>
      </w:tr>
      <w:tr>
        <w:tblPrEx>
          <w:tblCellMar>
            <w:top w:w="0" w:type="dxa"/>
            <w:left w:w="108" w:type="dxa"/>
            <w:bottom w:w="0" w:type="dxa"/>
            <w:right w:w="108" w:type="dxa"/>
          </w:tblCellMar>
        </w:tblPrEx>
        <w:trPr>
          <w:trHeight w:val="90" w:hRule="atLeast"/>
          <w:jc w:val="center"/>
        </w:trPr>
        <w:tc>
          <w:tcPr>
            <w:tcW w:w="0" w:type="auto"/>
            <w:gridSpan w:val="5"/>
            <w:tcBorders>
              <w:top w:val="nil"/>
              <w:left w:val="nil"/>
              <w:bottom w:val="nil"/>
              <w:right w:val="nil"/>
            </w:tcBorders>
            <w:shd w:val="clear" w:color="auto" w:fill="auto"/>
            <w:vAlign w:val="bottom"/>
          </w:tcPr>
          <w:p>
            <w:pPr>
              <w:spacing w:line="240" w:lineRule="auto"/>
              <w:jc w:val="left"/>
              <w:rPr>
                <w:rFonts w:ascii="宋体" w:hAnsi="宋体" w:cs="宋体"/>
                <w:color w:val="000000"/>
                <w:sz w:val="18"/>
                <w:szCs w:val="18"/>
              </w:rPr>
            </w:pPr>
          </w:p>
        </w:tc>
        <w:tc>
          <w:tcPr>
            <w:tcW w:w="0" w:type="auto"/>
            <w:gridSpan w:val="2"/>
            <w:tcBorders>
              <w:top w:val="nil"/>
              <w:left w:val="nil"/>
              <w:bottom w:val="nil"/>
              <w:right w:val="nil"/>
            </w:tcBorders>
            <w:shd w:val="clear" w:color="auto" w:fill="auto"/>
            <w:vAlign w:val="bottom"/>
          </w:tcPr>
          <w:p>
            <w:pPr>
              <w:spacing w:line="240" w:lineRule="auto"/>
              <w:jc w:val="left"/>
              <w:rPr>
                <w:rFonts w:ascii="宋体" w:hAnsi="宋体" w:cs="宋体"/>
                <w:color w:val="000000"/>
                <w:sz w:val="18"/>
                <w:szCs w:val="18"/>
              </w:rPr>
            </w:pPr>
          </w:p>
        </w:tc>
        <w:tc>
          <w:tcPr>
            <w:tcW w:w="0" w:type="auto"/>
            <w:gridSpan w:val="2"/>
            <w:tcBorders>
              <w:top w:val="nil"/>
              <w:left w:val="nil"/>
              <w:bottom w:val="nil"/>
              <w:right w:val="nil"/>
            </w:tcBorders>
            <w:shd w:val="clear" w:color="auto" w:fill="auto"/>
            <w:vAlign w:val="center"/>
          </w:tcPr>
          <w:p>
            <w:pPr>
              <w:spacing w:line="240" w:lineRule="auto"/>
              <w:jc w:val="right"/>
              <w:textAlignment w:val="center"/>
              <w:rPr>
                <w:rFonts w:ascii="宋体" w:hAnsi="宋体" w:cs="宋体"/>
                <w:color w:val="000000"/>
                <w:sz w:val="18"/>
                <w:szCs w:val="18"/>
              </w:rPr>
            </w:pPr>
            <w:r>
              <w:rPr>
                <w:rFonts w:hint="eastAsia" w:ascii="宋体" w:hAnsi="宋体" w:cs="宋体"/>
                <w:color w:val="000000"/>
                <w:kern w:val="0"/>
                <w:sz w:val="18"/>
                <w:szCs w:val="18"/>
              </w:rPr>
              <w:t>表-11</w:t>
            </w:r>
          </w:p>
        </w:tc>
      </w:tr>
      <w:tr>
        <w:tblPrEx>
          <w:tblCellMar>
            <w:top w:w="0" w:type="dxa"/>
            <w:left w:w="108" w:type="dxa"/>
            <w:bottom w:w="0" w:type="dxa"/>
            <w:right w:w="108" w:type="dxa"/>
          </w:tblCellMar>
        </w:tblPrEx>
        <w:trPr>
          <w:trHeight w:val="90" w:hRule="atLeast"/>
          <w:jc w:val="center"/>
        </w:trPr>
        <w:tc>
          <w:tcPr>
            <w:tcW w:w="0" w:type="auto"/>
            <w:gridSpan w:val="9"/>
            <w:tcBorders>
              <w:top w:val="nil"/>
              <w:left w:val="nil"/>
              <w:bottom w:val="nil"/>
              <w:right w:val="nil"/>
            </w:tcBorders>
            <w:shd w:val="clear" w:color="auto" w:fill="auto"/>
            <w:vAlign w:val="center"/>
          </w:tcPr>
          <w:p>
            <w:pPr>
              <w:spacing w:line="240" w:lineRule="auto"/>
              <w:jc w:val="center"/>
              <w:textAlignment w:val="center"/>
              <w:rPr>
                <w:rFonts w:ascii="宋体" w:hAnsi="宋体" w:cs="宋体"/>
                <w:b/>
                <w:bCs/>
                <w:color w:val="000000"/>
                <w:sz w:val="40"/>
                <w:szCs w:val="40"/>
              </w:rPr>
            </w:pPr>
            <w:r>
              <w:rPr>
                <w:rFonts w:hint="eastAsia" w:ascii="宋体" w:hAnsi="宋体" w:cs="宋体"/>
                <w:b/>
                <w:bCs/>
                <w:color w:val="000000"/>
                <w:kern w:val="0"/>
                <w:sz w:val="40"/>
                <w:szCs w:val="40"/>
              </w:rPr>
              <w:t>总价措施项目清单与计价表</w:t>
            </w:r>
          </w:p>
        </w:tc>
      </w:tr>
      <w:tr>
        <w:tblPrEx>
          <w:tblCellMar>
            <w:top w:w="0" w:type="dxa"/>
            <w:left w:w="108" w:type="dxa"/>
            <w:bottom w:w="0" w:type="dxa"/>
            <w:right w:w="108" w:type="dxa"/>
          </w:tblCellMar>
        </w:tblPrEx>
        <w:trPr>
          <w:trHeight w:val="90" w:hRule="atLeast"/>
          <w:jc w:val="center"/>
        </w:trPr>
        <w:tc>
          <w:tcPr>
            <w:tcW w:w="0" w:type="auto"/>
            <w:gridSpan w:val="5"/>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工程名称：武警茂名支队机动中队综合智慧训练场建设项目（一期）市政</w:t>
            </w:r>
          </w:p>
        </w:tc>
        <w:tc>
          <w:tcPr>
            <w:tcW w:w="0" w:type="auto"/>
            <w:gridSpan w:val="2"/>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标段：</w:t>
            </w:r>
          </w:p>
        </w:tc>
        <w:tc>
          <w:tcPr>
            <w:tcW w:w="0" w:type="auto"/>
            <w:gridSpan w:val="2"/>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20"/>
                <w:szCs w:val="20"/>
              </w:rPr>
            </w:pPr>
            <w:r>
              <w:rPr>
                <w:rFonts w:hint="eastAsia" w:ascii="宋体" w:hAnsi="宋体" w:cs="宋体"/>
                <w:color w:val="000000"/>
                <w:kern w:val="0"/>
                <w:sz w:val="20"/>
                <w:szCs w:val="20"/>
              </w:rPr>
              <w:t>第 2 页  共 2 页</w:t>
            </w:r>
          </w:p>
        </w:tc>
      </w:tr>
      <w:tr>
        <w:tblPrEx>
          <w:tblCellMar>
            <w:top w:w="0" w:type="dxa"/>
            <w:left w:w="108" w:type="dxa"/>
            <w:bottom w:w="0" w:type="dxa"/>
            <w:right w:w="108" w:type="dxa"/>
          </w:tblCellMar>
        </w:tblPrEx>
        <w:trPr>
          <w:trHeight w:val="90" w:hRule="atLeast"/>
          <w:jc w:val="center"/>
        </w:trPr>
        <w:tc>
          <w:tcPr>
            <w:tcW w:w="0" w:type="auto"/>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序号</w:t>
            </w:r>
          </w:p>
        </w:tc>
        <w:tc>
          <w:tcPr>
            <w:tcW w:w="0" w:type="auto"/>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项目编码</w:t>
            </w:r>
          </w:p>
        </w:tc>
        <w:tc>
          <w:tcPr>
            <w:tcW w:w="942"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项目名称</w:t>
            </w:r>
          </w:p>
        </w:tc>
        <w:tc>
          <w:tcPr>
            <w:tcW w:w="950"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计算基础</w:t>
            </w:r>
          </w:p>
        </w:tc>
        <w:tc>
          <w:tcPr>
            <w:tcW w:w="0" w:type="auto"/>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费率</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0" w:type="auto"/>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金额</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(元)</w:t>
            </w:r>
          </w:p>
        </w:tc>
        <w:tc>
          <w:tcPr>
            <w:tcW w:w="0" w:type="auto"/>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调整</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费率(%)</w:t>
            </w:r>
          </w:p>
        </w:tc>
        <w:tc>
          <w:tcPr>
            <w:tcW w:w="0" w:type="auto"/>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调整后</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金额(元)</w:t>
            </w:r>
          </w:p>
        </w:tc>
        <w:tc>
          <w:tcPr>
            <w:tcW w:w="0" w:type="auto"/>
            <w:tcBorders>
              <w:top w:val="single" w:color="000000" w:sz="8"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备注</w:t>
            </w:r>
          </w:p>
        </w:tc>
      </w:tr>
      <w:tr>
        <w:tblPrEx>
          <w:tblCellMar>
            <w:top w:w="0" w:type="dxa"/>
            <w:left w:w="108" w:type="dxa"/>
            <w:bottom w:w="0" w:type="dxa"/>
            <w:right w:w="108" w:type="dxa"/>
          </w:tblCellMar>
        </w:tblPrEx>
        <w:trPr>
          <w:trHeight w:val="9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结算时据实结算。</w:t>
            </w:r>
          </w:p>
        </w:tc>
      </w:tr>
      <w:tr>
        <w:tblPrEx>
          <w:tblCellMar>
            <w:top w:w="0" w:type="dxa"/>
            <w:left w:w="108" w:type="dxa"/>
            <w:bottom w:w="0" w:type="dxa"/>
            <w:right w:w="108" w:type="dxa"/>
          </w:tblCellMar>
        </w:tblPrEx>
        <w:trPr>
          <w:trHeight w:val="9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041108001001</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地下管线交叉降效费</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按实际发生或经批准的施工方案计算</w:t>
            </w:r>
          </w:p>
        </w:tc>
      </w:tr>
      <w:tr>
        <w:tblPrEx>
          <w:tblCellMar>
            <w:top w:w="0" w:type="dxa"/>
            <w:left w:w="108" w:type="dxa"/>
            <w:bottom w:w="0" w:type="dxa"/>
            <w:right w:w="108" w:type="dxa"/>
          </w:tblCellMar>
        </w:tblPrEx>
        <w:trPr>
          <w:trHeight w:val="9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粤041109008001</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赶工措施费</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分部分项人工费+分部分项机具费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赶工措施费=（1-δ）*分部分项的（人工费+施工机具费）*0.30 （0.8≤δ＜1   式中：δ=合同工期/定额工期）</w:t>
            </w:r>
          </w:p>
        </w:tc>
      </w:tr>
      <w:tr>
        <w:tblPrEx>
          <w:tblCellMar>
            <w:top w:w="0" w:type="dxa"/>
            <w:left w:w="108" w:type="dxa"/>
            <w:bottom w:w="0" w:type="dxa"/>
            <w:right w:w="108" w:type="dxa"/>
          </w:tblCellMar>
        </w:tblPrEx>
        <w:trPr>
          <w:trHeight w:val="9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QTFY00000001</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其他费用</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按实际发生或经批准的施工组织设计方案计算</w:t>
            </w: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gridSpan w:val="5"/>
            <w:tcBorders>
              <w:top w:val="single" w:color="000000" w:sz="4" w:space="0"/>
              <w:left w:val="single" w:color="000000" w:sz="8" w:space="0"/>
              <w:bottom w:val="single" w:color="000000" w:sz="8"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合    计</w:t>
            </w:r>
          </w:p>
        </w:tc>
        <w:tc>
          <w:tcPr>
            <w:tcW w:w="0" w:type="auto"/>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94885.35</w:t>
            </w:r>
          </w:p>
        </w:tc>
        <w:tc>
          <w:tcPr>
            <w:tcW w:w="0" w:type="auto"/>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8"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90" w:hRule="atLeast"/>
          <w:jc w:val="center"/>
        </w:trPr>
        <w:tc>
          <w:tcPr>
            <w:tcW w:w="0" w:type="auto"/>
            <w:gridSpan w:val="5"/>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18"/>
                <w:szCs w:val="18"/>
              </w:rPr>
            </w:pPr>
            <w:r>
              <w:rPr>
                <w:rFonts w:hint="eastAsia" w:ascii="宋体" w:hAnsi="宋体" w:cs="宋体"/>
                <w:color w:val="000000"/>
                <w:kern w:val="0"/>
                <w:sz w:val="18"/>
                <w:szCs w:val="18"/>
              </w:rPr>
              <w:t>编制人（造价人员）：</w:t>
            </w:r>
          </w:p>
        </w:tc>
        <w:tc>
          <w:tcPr>
            <w:tcW w:w="0" w:type="auto"/>
            <w:gridSpan w:val="4"/>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18"/>
                <w:szCs w:val="18"/>
              </w:rPr>
            </w:pPr>
            <w:r>
              <w:rPr>
                <w:rFonts w:hint="eastAsia" w:ascii="宋体" w:hAnsi="宋体" w:cs="宋体"/>
                <w:color w:val="000000"/>
                <w:kern w:val="0"/>
                <w:sz w:val="18"/>
                <w:szCs w:val="18"/>
              </w:rPr>
              <w:t>复核人（造价工程师）：</w:t>
            </w:r>
          </w:p>
        </w:tc>
      </w:tr>
      <w:tr>
        <w:tblPrEx>
          <w:tblCellMar>
            <w:top w:w="0" w:type="dxa"/>
            <w:left w:w="108" w:type="dxa"/>
            <w:bottom w:w="0" w:type="dxa"/>
            <w:right w:w="108" w:type="dxa"/>
          </w:tblCellMar>
        </w:tblPrEx>
        <w:trPr>
          <w:trHeight w:val="90" w:hRule="atLeast"/>
          <w:jc w:val="center"/>
        </w:trPr>
        <w:tc>
          <w:tcPr>
            <w:tcW w:w="0" w:type="auto"/>
            <w:gridSpan w:val="5"/>
            <w:tcBorders>
              <w:top w:val="nil"/>
              <w:left w:val="nil"/>
              <w:bottom w:val="nil"/>
              <w:right w:val="nil"/>
            </w:tcBorders>
            <w:shd w:val="clear" w:color="auto" w:fill="auto"/>
            <w:vAlign w:val="bottom"/>
          </w:tcPr>
          <w:p>
            <w:pPr>
              <w:spacing w:line="240" w:lineRule="auto"/>
              <w:jc w:val="left"/>
              <w:rPr>
                <w:rFonts w:ascii="宋体" w:hAnsi="宋体" w:cs="宋体"/>
                <w:color w:val="000000"/>
                <w:sz w:val="18"/>
                <w:szCs w:val="18"/>
              </w:rPr>
            </w:pPr>
          </w:p>
        </w:tc>
        <w:tc>
          <w:tcPr>
            <w:tcW w:w="0" w:type="auto"/>
            <w:gridSpan w:val="2"/>
            <w:tcBorders>
              <w:top w:val="nil"/>
              <w:left w:val="nil"/>
              <w:bottom w:val="nil"/>
              <w:right w:val="nil"/>
            </w:tcBorders>
            <w:shd w:val="clear" w:color="auto" w:fill="auto"/>
            <w:vAlign w:val="bottom"/>
          </w:tcPr>
          <w:p>
            <w:pPr>
              <w:spacing w:line="240" w:lineRule="auto"/>
              <w:jc w:val="left"/>
              <w:rPr>
                <w:rFonts w:ascii="宋体" w:hAnsi="宋体" w:cs="宋体"/>
                <w:color w:val="000000"/>
                <w:sz w:val="18"/>
                <w:szCs w:val="18"/>
              </w:rPr>
            </w:pPr>
          </w:p>
        </w:tc>
        <w:tc>
          <w:tcPr>
            <w:tcW w:w="0" w:type="auto"/>
            <w:gridSpan w:val="2"/>
            <w:tcBorders>
              <w:top w:val="nil"/>
              <w:left w:val="nil"/>
              <w:bottom w:val="nil"/>
              <w:right w:val="nil"/>
            </w:tcBorders>
            <w:shd w:val="clear" w:color="auto" w:fill="auto"/>
            <w:vAlign w:val="center"/>
          </w:tcPr>
          <w:p>
            <w:pPr>
              <w:spacing w:line="240" w:lineRule="auto"/>
              <w:jc w:val="right"/>
              <w:textAlignment w:val="center"/>
              <w:rPr>
                <w:rFonts w:ascii="宋体" w:hAnsi="宋体" w:cs="宋体"/>
                <w:color w:val="000000"/>
                <w:sz w:val="18"/>
                <w:szCs w:val="18"/>
              </w:rPr>
            </w:pPr>
            <w:r>
              <w:rPr>
                <w:rFonts w:hint="eastAsia" w:ascii="宋体" w:hAnsi="宋体" w:cs="宋体"/>
                <w:color w:val="000000"/>
                <w:kern w:val="0"/>
                <w:sz w:val="18"/>
                <w:szCs w:val="18"/>
              </w:rPr>
              <w:t>表-11</w:t>
            </w:r>
          </w:p>
        </w:tc>
      </w:tr>
    </w:tbl>
    <w:p>
      <w:pPr>
        <w:pStyle w:val="47"/>
        <w:ind w:firstLine="192"/>
      </w:pPr>
    </w:p>
    <w:tbl>
      <w:tblPr>
        <w:tblStyle w:val="49"/>
        <w:tblW w:w="9964" w:type="dxa"/>
        <w:jc w:val="center"/>
        <w:tblLayout w:type="autofit"/>
        <w:tblCellMar>
          <w:top w:w="0" w:type="dxa"/>
          <w:left w:w="108" w:type="dxa"/>
          <w:bottom w:w="0" w:type="dxa"/>
          <w:right w:w="108" w:type="dxa"/>
        </w:tblCellMar>
      </w:tblPr>
      <w:tblGrid>
        <w:gridCol w:w="574"/>
        <w:gridCol w:w="4790"/>
        <w:gridCol w:w="1199"/>
        <w:gridCol w:w="1571"/>
        <w:gridCol w:w="1830"/>
      </w:tblGrid>
      <w:tr>
        <w:tblPrEx>
          <w:tblCellMar>
            <w:top w:w="0" w:type="dxa"/>
            <w:left w:w="108" w:type="dxa"/>
            <w:bottom w:w="0" w:type="dxa"/>
            <w:right w:w="108" w:type="dxa"/>
          </w:tblCellMar>
        </w:tblPrEx>
        <w:trPr>
          <w:trHeight w:val="99" w:hRule="atLeast"/>
          <w:jc w:val="center"/>
        </w:trPr>
        <w:tc>
          <w:tcPr>
            <w:tcW w:w="9964" w:type="dxa"/>
            <w:gridSpan w:val="5"/>
            <w:tcBorders>
              <w:top w:val="nil"/>
              <w:left w:val="nil"/>
              <w:bottom w:val="nil"/>
              <w:right w:val="nil"/>
            </w:tcBorders>
            <w:shd w:val="clear" w:color="auto" w:fill="auto"/>
            <w:vAlign w:val="center"/>
          </w:tcPr>
          <w:p>
            <w:pPr>
              <w:spacing w:line="240" w:lineRule="auto"/>
              <w:jc w:val="center"/>
              <w:textAlignment w:val="center"/>
              <w:rPr>
                <w:rFonts w:ascii="宋体" w:hAnsi="宋体" w:cs="宋体"/>
                <w:b/>
                <w:bCs/>
                <w:color w:val="000000"/>
                <w:sz w:val="40"/>
                <w:szCs w:val="40"/>
              </w:rPr>
            </w:pPr>
            <w:r>
              <w:rPr>
                <w:rFonts w:hint="eastAsia" w:ascii="宋体" w:hAnsi="宋体" w:cs="宋体"/>
                <w:b/>
                <w:bCs/>
                <w:color w:val="000000"/>
                <w:kern w:val="0"/>
                <w:sz w:val="40"/>
                <w:szCs w:val="40"/>
              </w:rPr>
              <w:t>其他项目清单与计价汇总表</w:t>
            </w:r>
          </w:p>
        </w:tc>
      </w:tr>
      <w:tr>
        <w:tblPrEx>
          <w:tblCellMar>
            <w:top w:w="0" w:type="dxa"/>
            <w:left w:w="108" w:type="dxa"/>
            <w:bottom w:w="0" w:type="dxa"/>
            <w:right w:w="108" w:type="dxa"/>
          </w:tblCellMar>
        </w:tblPrEx>
        <w:trPr>
          <w:trHeight w:val="90" w:hRule="atLeast"/>
          <w:jc w:val="center"/>
        </w:trPr>
        <w:tc>
          <w:tcPr>
            <w:tcW w:w="5373" w:type="dxa"/>
            <w:gridSpan w:val="2"/>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工程名称：武警茂名支队机动中队综合智慧训练场建设项目（一期）市政</w:t>
            </w:r>
          </w:p>
        </w:tc>
        <w:tc>
          <w:tcPr>
            <w:tcW w:w="2764" w:type="dxa"/>
            <w:gridSpan w:val="2"/>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标段：</w:t>
            </w:r>
          </w:p>
        </w:tc>
        <w:tc>
          <w:tcPr>
            <w:tcW w:w="1827" w:type="dxa"/>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20"/>
                <w:szCs w:val="20"/>
              </w:rPr>
            </w:pPr>
            <w:r>
              <w:rPr>
                <w:rFonts w:hint="eastAsia" w:ascii="宋体" w:hAnsi="宋体" w:cs="宋体"/>
                <w:color w:val="000000"/>
                <w:kern w:val="0"/>
                <w:sz w:val="20"/>
                <w:szCs w:val="20"/>
              </w:rPr>
              <w:t>第 1 页  共 1 页</w:t>
            </w:r>
          </w:p>
        </w:tc>
      </w:tr>
      <w:tr>
        <w:tblPrEx>
          <w:tblCellMar>
            <w:top w:w="0" w:type="dxa"/>
            <w:left w:w="108" w:type="dxa"/>
            <w:bottom w:w="0" w:type="dxa"/>
            <w:right w:w="108" w:type="dxa"/>
          </w:tblCellMar>
        </w:tblPrEx>
        <w:trPr>
          <w:trHeight w:val="375" w:hRule="atLeast"/>
          <w:jc w:val="center"/>
        </w:trPr>
        <w:tc>
          <w:tcPr>
            <w:tcW w:w="0" w:type="auto"/>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序号</w:t>
            </w:r>
          </w:p>
        </w:tc>
        <w:tc>
          <w:tcPr>
            <w:tcW w:w="4773"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项目名称</w:t>
            </w:r>
          </w:p>
        </w:tc>
        <w:tc>
          <w:tcPr>
            <w:tcW w:w="1196"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金额（元）</w:t>
            </w:r>
          </w:p>
        </w:tc>
        <w:tc>
          <w:tcPr>
            <w:tcW w:w="1568"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结算金额（元）</w:t>
            </w:r>
          </w:p>
        </w:tc>
        <w:tc>
          <w:tcPr>
            <w:tcW w:w="1827" w:type="dxa"/>
            <w:tcBorders>
              <w:top w:val="single" w:color="000000" w:sz="8"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备注</w:t>
            </w: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暂列金额</w:t>
            </w: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明细详见表-12-1</w:t>
            </w: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暂估价</w:t>
            </w: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2.1</w:t>
            </w: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材料暂估价</w:t>
            </w: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明细详见表-12-2</w:t>
            </w: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2.2</w:t>
            </w: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专业工程暂估价</w:t>
            </w: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明细详见表-12-3</w:t>
            </w: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计日工</w:t>
            </w: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明细详见表-12-4</w:t>
            </w: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总承包服务费</w:t>
            </w: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明细详见表-12-5</w:t>
            </w: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预算包干费</w:t>
            </w: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工程优质费</w:t>
            </w: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概算幅度差</w:t>
            </w: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8</w:t>
            </w: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现场签证费用</w:t>
            </w: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9</w:t>
            </w: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索赔费用</w:t>
            </w: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10</w:t>
            </w: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其他费用</w:t>
            </w: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27"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8" w:space="0"/>
              <w:right w:val="single" w:color="000000" w:sz="4" w:space="0"/>
            </w:tcBorders>
            <w:shd w:val="clear" w:color="auto" w:fill="auto"/>
            <w:vAlign w:val="center"/>
          </w:tcPr>
          <w:p>
            <w:pPr>
              <w:spacing w:line="240" w:lineRule="auto"/>
              <w:jc w:val="left"/>
              <w:rPr>
                <w:rFonts w:ascii="宋体" w:hAnsi="宋体" w:cs="宋体"/>
                <w:color w:val="000000"/>
                <w:sz w:val="18"/>
                <w:szCs w:val="18"/>
              </w:rPr>
            </w:pPr>
          </w:p>
        </w:tc>
        <w:tc>
          <w:tcPr>
            <w:tcW w:w="4773"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合  计</w:t>
            </w:r>
          </w:p>
        </w:tc>
        <w:tc>
          <w:tcPr>
            <w:tcW w:w="1196"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568"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left"/>
              <w:rPr>
                <w:rFonts w:ascii="宋体" w:hAnsi="宋体" w:cs="宋体"/>
                <w:color w:val="000000"/>
                <w:sz w:val="18"/>
                <w:szCs w:val="18"/>
              </w:rPr>
            </w:pPr>
          </w:p>
        </w:tc>
        <w:tc>
          <w:tcPr>
            <w:tcW w:w="1827" w:type="dxa"/>
            <w:tcBorders>
              <w:top w:val="single" w:color="000000" w:sz="4" w:space="0"/>
              <w:left w:val="single" w:color="000000" w:sz="4" w:space="0"/>
              <w:bottom w:val="single" w:color="000000" w:sz="8"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18"/>
                <w:szCs w:val="18"/>
              </w:rPr>
            </w:pPr>
            <w:r>
              <w:rPr>
                <w:rFonts w:hint="eastAsia" w:ascii="宋体" w:hAnsi="宋体" w:cs="宋体"/>
                <w:color w:val="000000"/>
                <w:kern w:val="0"/>
                <w:sz w:val="18"/>
                <w:szCs w:val="18"/>
              </w:rPr>
              <w:t>—</w:t>
            </w:r>
          </w:p>
        </w:tc>
      </w:tr>
      <w:tr>
        <w:tblPrEx>
          <w:tblCellMar>
            <w:top w:w="0" w:type="dxa"/>
            <w:left w:w="108" w:type="dxa"/>
            <w:bottom w:w="0" w:type="dxa"/>
            <w:right w:w="108" w:type="dxa"/>
          </w:tblCellMar>
        </w:tblPrEx>
        <w:trPr>
          <w:trHeight w:val="94" w:hRule="atLeast"/>
          <w:jc w:val="center"/>
        </w:trPr>
        <w:tc>
          <w:tcPr>
            <w:tcW w:w="9964" w:type="dxa"/>
            <w:gridSpan w:val="5"/>
            <w:tcBorders>
              <w:top w:val="nil"/>
              <w:left w:val="nil"/>
              <w:bottom w:val="nil"/>
              <w:right w:val="nil"/>
            </w:tcBorders>
            <w:shd w:val="clear" w:color="auto" w:fill="auto"/>
            <w:vAlign w:val="center"/>
          </w:tcPr>
          <w:p>
            <w:pPr>
              <w:spacing w:line="240" w:lineRule="auto"/>
              <w:jc w:val="left"/>
              <w:textAlignment w:val="center"/>
              <w:rPr>
                <w:rFonts w:ascii="宋体" w:hAnsi="宋体" w:cs="宋体"/>
                <w:color w:val="000000"/>
                <w:sz w:val="18"/>
                <w:szCs w:val="18"/>
              </w:rPr>
            </w:pPr>
            <w:r>
              <w:rPr>
                <w:rFonts w:hint="eastAsia" w:ascii="宋体" w:hAnsi="宋体" w:cs="宋体"/>
                <w:color w:val="000000"/>
                <w:kern w:val="0"/>
                <w:sz w:val="18"/>
                <w:szCs w:val="18"/>
              </w:rPr>
              <w:t>注：材料（工程设备）暂估单价进入清单项目综合单价，此处不汇总。</w:t>
            </w:r>
          </w:p>
        </w:tc>
      </w:tr>
      <w:tr>
        <w:tblPrEx>
          <w:tblCellMar>
            <w:top w:w="0" w:type="dxa"/>
            <w:left w:w="108" w:type="dxa"/>
            <w:bottom w:w="0" w:type="dxa"/>
            <w:right w:w="108" w:type="dxa"/>
          </w:tblCellMar>
        </w:tblPrEx>
        <w:trPr>
          <w:trHeight w:val="90" w:hRule="atLeast"/>
          <w:jc w:val="center"/>
        </w:trPr>
        <w:tc>
          <w:tcPr>
            <w:tcW w:w="5373" w:type="dxa"/>
            <w:gridSpan w:val="2"/>
            <w:tcBorders>
              <w:top w:val="nil"/>
              <w:left w:val="nil"/>
              <w:bottom w:val="nil"/>
              <w:right w:val="nil"/>
            </w:tcBorders>
            <w:shd w:val="clear" w:color="auto" w:fill="auto"/>
            <w:vAlign w:val="bottom"/>
          </w:tcPr>
          <w:p>
            <w:pPr>
              <w:spacing w:line="240" w:lineRule="auto"/>
              <w:jc w:val="left"/>
              <w:rPr>
                <w:rFonts w:ascii="宋体" w:hAnsi="宋体" w:cs="宋体"/>
                <w:color w:val="000000"/>
                <w:sz w:val="18"/>
                <w:szCs w:val="18"/>
              </w:rPr>
            </w:pPr>
          </w:p>
        </w:tc>
        <w:tc>
          <w:tcPr>
            <w:tcW w:w="2764" w:type="dxa"/>
            <w:gridSpan w:val="2"/>
            <w:tcBorders>
              <w:top w:val="nil"/>
              <w:left w:val="nil"/>
              <w:bottom w:val="nil"/>
              <w:right w:val="nil"/>
            </w:tcBorders>
            <w:shd w:val="clear" w:color="auto" w:fill="auto"/>
            <w:vAlign w:val="bottom"/>
          </w:tcPr>
          <w:p>
            <w:pPr>
              <w:spacing w:line="240" w:lineRule="auto"/>
              <w:jc w:val="left"/>
              <w:rPr>
                <w:rFonts w:ascii="宋体" w:hAnsi="宋体" w:cs="宋体"/>
                <w:color w:val="000000"/>
                <w:sz w:val="18"/>
                <w:szCs w:val="18"/>
              </w:rPr>
            </w:pPr>
          </w:p>
        </w:tc>
        <w:tc>
          <w:tcPr>
            <w:tcW w:w="1827" w:type="dxa"/>
            <w:tcBorders>
              <w:top w:val="nil"/>
              <w:left w:val="nil"/>
              <w:bottom w:val="nil"/>
              <w:right w:val="nil"/>
            </w:tcBorders>
            <w:shd w:val="clear" w:color="auto" w:fill="auto"/>
            <w:vAlign w:val="center"/>
          </w:tcPr>
          <w:p>
            <w:pPr>
              <w:spacing w:line="240" w:lineRule="auto"/>
              <w:jc w:val="right"/>
              <w:textAlignment w:val="center"/>
              <w:rPr>
                <w:rFonts w:ascii="宋体" w:hAnsi="宋体" w:cs="宋体"/>
                <w:color w:val="000000"/>
                <w:sz w:val="18"/>
                <w:szCs w:val="18"/>
              </w:rPr>
            </w:pPr>
            <w:r>
              <w:rPr>
                <w:rFonts w:hint="eastAsia" w:ascii="宋体" w:hAnsi="宋体" w:cs="宋体"/>
                <w:color w:val="000000"/>
                <w:kern w:val="0"/>
                <w:sz w:val="18"/>
                <w:szCs w:val="18"/>
              </w:rPr>
              <w:t>表—12</w:t>
            </w:r>
          </w:p>
        </w:tc>
      </w:tr>
    </w:tbl>
    <w:p>
      <w:pPr>
        <w:pStyle w:val="47"/>
        <w:ind w:firstLine="192"/>
      </w:pPr>
    </w:p>
    <w:tbl>
      <w:tblPr>
        <w:tblStyle w:val="49"/>
        <w:tblW w:w="0" w:type="auto"/>
        <w:jc w:val="center"/>
        <w:tblLayout w:type="autofit"/>
        <w:tblCellMar>
          <w:top w:w="0" w:type="dxa"/>
          <w:left w:w="108" w:type="dxa"/>
          <w:bottom w:w="0" w:type="dxa"/>
          <w:right w:w="108" w:type="dxa"/>
        </w:tblCellMar>
      </w:tblPr>
      <w:tblGrid>
        <w:gridCol w:w="1231"/>
        <w:gridCol w:w="2938"/>
        <w:gridCol w:w="2037"/>
        <w:gridCol w:w="698"/>
        <w:gridCol w:w="1115"/>
        <w:gridCol w:w="1018"/>
      </w:tblGrid>
      <w:tr>
        <w:tblPrEx>
          <w:tblCellMar>
            <w:top w:w="0" w:type="dxa"/>
            <w:left w:w="108" w:type="dxa"/>
            <w:bottom w:w="0" w:type="dxa"/>
            <w:right w:w="108" w:type="dxa"/>
          </w:tblCellMar>
        </w:tblPrEx>
        <w:trPr>
          <w:trHeight w:val="90" w:hRule="atLeast"/>
          <w:jc w:val="center"/>
        </w:trPr>
        <w:tc>
          <w:tcPr>
            <w:tcW w:w="0" w:type="auto"/>
            <w:gridSpan w:val="6"/>
            <w:tcBorders>
              <w:top w:val="nil"/>
              <w:left w:val="nil"/>
              <w:bottom w:val="nil"/>
              <w:right w:val="nil"/>
            </w:tcBorders>
            <w:shd w:val="clear" w:color="auto" w:fill="auto"/>
            <w:vAlign w:val="center"/>
          </w:tcPr>
          <w:p>
            <w:pPr>
              <w:spacing w:line="240" w:lineRule="auto"/>
              <w:jc w:val="center"/>
              <w:textAlignment w:val="center"/>
              <w:rPr>
                <w:rFonts w:ascii="宋体" w:hAnsi="宋体" w:cs="宋体"/>
                <w:b/>
                <w:bCs/>
                <w:color w:val="000000"/>
                <w:sz w:val="40"/>
                <w:szCs w:val="40"/>
              </w:rPr>
            </w:pPr>
            <w:r>
              <w:rPr>
                <w:rFonts w:hint="eastAsia" w:ascii="宋体" w:hAnsi="宋体" w:cs="宋体"/>
                <w:b/>
                <w:bCs/>
                <w:color w:val="000000"/>
                <w:kern w:val="0"/>
                <w:sz w:val="40"/>
                <w:szCs w:val="40"/>
              </w:rPr>
              <w:t>规费、税金项目清单与计价表</w:t>
            </w:r>
          </w:p>
        </w:tc>
      </w:tr>
      <w:tr>
        <w:tblPrEx>
          <w:tblCellMar>
            <w:top w:w="0" w:type="dxa"/>
            <w:left w:w="108" w:type="dxa"/>
            <w:bottom w:w="0" w:type="dxa"/>
            <w:right w:w="108" w:type="dxa"/>
          </w:tblCellMar>
        </w:tblPrEx>
        <w:trPr>
          <w:trHeight w:val="90" w:hRule="atLeast"/>
          <w:jc w:val="center"/>
        </w:trPr>
        <w:tc>
          <w:tcPr>
            <w:tcW w:w="0" w:type="auto"/>
            <w:gridSpan w:val="2"/>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工程名称：武警茂名支队机动中队综合智慧训练场建设项目（一期）市政</w:t>
            </w:r>
          </w:p>
        </w:tc>
        <w:tc>
          <w:tcPr>
            <w:tcW w:w="3031" w:type="dxa"/>
            <w:gridSpan w:val="2"/>
            <w:tcBorders>
              <w:top w:val="nil"/>
              <w:left w:val="nil"/>
              <w:bottom w:val="nil"/>
              <w:right w:val="nil"/>
            </w:tcBorders>
            <w:shd w:val="clear" w:color="auto" w:fill="auto"/>
            <w:vAlign w:val="bottom"/>
          </w:tcPr>
          <w:p>
            <w:pPr>
              <w:spacing w:line="240" w:lineRule="auto"/>
              <w:jc w:val="center"/>
              <w:textAlignment w:val="bottom"/>
              <w:rPr>
                <w:rFonts w:ascii="宋体" w:hAnsi="宋体" w:cs="宋体"/>
                <w:color w:val="000000"/>
                <w:sz w:val="20"/>
                <w:szCs w:val="20"/>
              </w:rPr>
            </w:pPr>
            <w:r>
              <w:rPr>
                <w:rFonts w:hint="eastAsia" w:ascii="宋体" w:hAnsi="宋体" w:cs="宋体"/>
                <w:color w:val="000000"/>
                <w:kern w:val="0"/>
                <w:sz w:val="20"/>
                <w:szCs w:val="20"/>
              </w:rPr>
              <w:t>标段：</w:t>
            </w:r>
          </w:p>
        </w:tc>
        <w:tc>
          <w:tcPr>
            <w:tcW w:w="2133" w:type="dxa"/>
            <w:gridSpan w:val="2"/>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20"/>
                <w:szCs w:val="20"/>
              </w:rPr>
            </w:pPr>
            <w:r>
              <w:rPr>
                <w:rFonts w:hint="eastAsia" w:ascii="宋体" w:hAnsi="宋体" w:cs="宋体"/>
                <w:color w:val="000000"/>
                <w:kern w:val="0"/>
                <w:sz w:val="20"/>
                <w:szCs w:val="20"/>
              </w:rPr>
              <w:t>第 1 页  共 1 页</w:t>
            </w:r>
          </w:p>
        </w:tc>
      </w:tr>
      <w:tr>
        <w:tblPrEx>
          <w:tblCellMar>
            <w:top w:w="0" w:type="dxa"/>
            <w:left w:w="108" w:type="dxa"/>
            <w:bottom w:w="0" w:type="dxa"/>
            <w:right w:w="108" w:type="dxa"/>
          </w:tblCellMar>
        </w:tblPrEx>
        <w:trPr>
          <w:trHeight w:val="250" w:hRule="atLeast"/>
          <w:jc w:val="center"/>
        </w:trPr>
        <w:tc>
          <w:tcPr>
            <w:tcW w:w="0" w:type="auto"/>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序号</w:t>
            </w:r>
          </w:p>
        </w:tc>
        <w:tc>
          <w:tcPr>
            <w:tcW w:w="0" w:type="auto"/>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项目名称</w:t>
            </w:r>
          </w:p>
        </w:tc>
        <w:tc>
          <w:tcPr>
            <w:tcW w:w="0" w:type="auto"/>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计算基础</w:t>
            </w:r>
          </w:p>
        </w:tc>
        <w:tc>
          <w:tcPr>
            <w:tcW w:w="698"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计算基数</w:t>
            </w:r>
          </w:p>
        </w:tc>
        <w:tc>
          <w:tcPr>
            <w:tcW w:w="1115"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计算费率</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0" w:type="auto"/>
            <w:tcBorders>
              <w:top w:val="single" w:color="000000" w:sz="8"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金额(元)</w:t>
            </w:r>
          </w:p>
        </w:tc>
      </w:tr>
      <w:tr>
        <w:tblPrEx>
          <w:tblCellMar>
            <w:top w:w="0" w:type="dxa"/>
            <w:left w:w="108" w:type="dxa"/>
            <w:bottom w:w="0" w:type="dxa"/>
            <w:right w:w="108" w:type="dxa"/>
          </w:tblCellMar>
        </w:tblPrEx>
        <w:trPr>
          <w:trHeight w:val="57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增值税销项税额</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分部分项合计+措施合计+其他项目</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9</w:t>
            </w: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textAlignment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gridSpan w:val="5"/>
            <w:tcBorders>
              <w:top w:val="single" w:color="000000" w:sz="4" w:space="0"/>
              <w:left w:val="single" w:color="000000" w:sz="8" w:space="0"/>
              <w:bottom w:val="single" w:color="000000" w:sz="8"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18"/>
                <w:szCs w:val="18"/>
              </w:rPr>
            </w:pPr>
            <w:r>
              <w:rPr>
                <w:rFonts w:hint="eastAsia" w:ascii="宋体" w:hAnsi="宋体" w:cs="宋体"/>
                <w:color w:val="000000"/>
                <w:kern w:val="0"/>
                <w:sz w:val="18"/>
                <w:szCs w:val="18"/>
              </w:rPr>
              <w:t>合    计</w:t>
            </w:r>
          </w:p>
        </w:tc>
        <w:tc>
          <w:tcPr>
            <w:tcW w:w="0" w:type="auto"/>
            <w:tcBorders>
              <w:top w:val="single" w:color="000000" w:sz="4" w:space="0"/>
              <w:left w:val="single" w:color="000000" w:sz="4" w:space="0"/>
              <w:bottom w:val="single" w:color="000000" w:sz="8" w:space="0"/>
              <w:right w:val="single" w:color="000000" w:sz="8" w:space="0"/>
            </w:tcBorders>
            <w:shd w:val="clear" w:color="auto" w:fill="auto"/>
            <w:vAlign w:val="center"/>
          </w:tcPr>
          <w:p>
            <w:pPr>
              <w:spacing w:line="240" w:lineRule="auto"/>
              <w:jc w:val="right"/>
              <w:textAlignment w:val="center"/>
              <w:rPr>
                <w:rFonts w:ascii="宋体" w:hAnsi="宋体" w:cs="宋体"/>
                <w:color w:val="000000"/>
                <w:sz w:val="18"/>
                <w:szCs w:val="18"/>
              </w:rPr>
            </w:pPr>
          </w:p>
        </w:tc>
      </w:tr>
      <w:tr>
        <w:tblPrEx>
          <w:tblCellMar>
            <w:top w:w="0" w:type="dxa"/>
            <w:left w:w="108" w:type="dxa"/>
            <w:bottom w:w="0" w:type="dxa"/>
            <w:right w:w="108" w:type="dxa"/>
          </w:tblCellMar>
        </w:tblPrEx>
        <w:trPr>
          <w:trHeight w:val="90" w:hRule="atLeast"/>
          <w:jc w:val="center"/>
        </w:trPr>
        <w:tc>
          <w:tcPr>
            <w:tcW w:w="0" w:type="auto"/>
            <w:gridSpan w:val="2"/>
            <w:tcBorders>
              <w:top w:val="nil"/>
              <w:left w:val="nil"/>
              <w:bottom w:val="nil"/>
              <w:right w:val="nil"/>
            </w:tcBorders>
            <w:shd w:val="clear" w:color="auto" w:fill="auto"/>
            <w:vAlign w:val="center"/>
          </w:tcPr>
          <w:p>
            <w:pPr>
              <w:spacing w:line="240" w:lineRule="auto"/>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编制人（造价人员）：</w:t>
            </w:r>
          </w:p>
        </w:tc>
        <w:tc>
          <w:tcPr>
            <w:tcW w:w="0" w:type="auto"/>
            <w:gridSpan w:val="4"/>
            <w:tcBorders>
              <w:top w:val="nil"/>
              <w:left w:val="nil"/>
              <w:bottom w:val="nil"/>
              <w:right w:val="nil"/>
            </w:tcBorders>
            <w:shd w:val="clear" w:color="auto" w:fill="auto"/>
            <w:vAlign w:val="center"/>
          </w:tcPr>
          <w:p>
            <w:pPr>
              <w:spacing w:line="240" w:lineRule="auto"/>
              <w:jc w:val="center"/>
              <w:textAlignment w:val="center"/>
              <w:rPr>
                <w:rFonts w:ascii="宋体" w:hAnsi="宋体" w:cs="宋体"/>
                <w:color w:val="000000"/>
                <w:sz w:val="18"/>
                <w:szCs w:val="18"/>
              </w:rPr>
            </w:pPr>
            <w:r>
              <w:rPr>
                <w:rFonts w:hint="eastAsia" w:ascii="宋体" w:hAnsi="宋体" w:cs="宋体"/>
                <w:color w:val="000000"/>
                <w:kern w:val="0"/>
                <w:sz w:val="18"/>
                <w:szCs w:val="18"/>
              </w:rPr>
              <w:t>复核人（造价工程师）：</w:t>
            </w:r>
          </w:p>
        </w:tc>
      </w:tr>
      <w:tr>
        <w:tblPrEx>
          <w:tblCellMar>
            <w:top w:w="0" w:type="dxa"/>
            <w:left w:w="108" w:type="dxa"/>
            <w:bottom w:w="0" w:type="dxa"/>
            <w:right w:w="108" w:type="dxa"/>
          </w:tblCellMar>
        </w:tblPrEx>
        <w:trPr>
          <w:trHeight w:val="90" w:hRule="atLeast"/>
          <w:jc w:val="center"/>
        </w:trPr>
        <w:tc>
          <w:tcPr>
            <w:tcW w:w="0" w:type="auto"/>
            <w:gridSpan w:val="2"/>
            <w:tcBorders>
              <w:top w:val="nil"/>
              <w:left w:val="nil"/>
              <w:bottom w:val="nil"/>
              <w:right w:val="nil"/>
            </w:tcBorders>
            <w:shd w:val="clear" w:color="auto" w:fill="auto"/>
            <w:vAlign w:val="center"/>
          </w:tcPr>
          <w:p>
            <w:pPr>
              <w:spacing w:line="240" w:lineRule="auto"/>
              <w:jc w:val="left"/>
              <w:rPr>
                <w:rFonts w:ascii="宋体" w:hAnsi="宋体" w:cs="宋体"/>
                <w:color w:val="000000"/>
                <w:sz w:val="18"/>
                <w:szCs w:val="18"/>
              </w:rPr>
            </w:pPr>
          </w:p>
        </w:tc>
        <w:tc>
          <w:tcPr>
            <w:tcW w:w="3031" w:type="dxa"/>
            <w:gridSpan w:val="2"/>
            <w:tcBorders>
              <w:top w:val="nil"/>
              <w:left w:val="nil"/>
              <w:bottom w:val="nil"/>
              <w:right w:val="nil"/>
            </w:tcBorders>
            <w:shd w:val="clear" w:color="auto" w:fill="auto"/>
            <w:vAlign w:val="center"/>
          </w:tcPr>
          <w:p>
            <w:pPr>
              <w:spacing w:line="240" w:lineRule="auto"/>
              <w:jc w:val="center"/>
              <w:rPr>
                <w:rFonts w:ascii="宋体" w:hAnsi="宋体" w:cs="宋体"/>
                <w:color w:val="000000"/>
                <w:sz w:val="18"/>
                <w:szCs w:val="18"/>
              </w:rPr>
            </w:pPr>
          </w:p>
        </w:tc>
        <w:tc>
          <w:tcPr>
            <w:tcW w:w="2133" w:type="dxa"/>
            <w:gridSpan w:val="2"/>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18"/>
                <w:szCs w:val="18"/>
              </w:rPr>
            </w:pPr>
            <w:r>
              <w:rPr>
                <w:rFonts w:hint="eastAsia" w:ascii="宋体" w:hAnsi="宋体" w:cs="宋体"/>
                <w:color w:val="000000"/>
                <w:kern w:val="0"/>
                <w:sz w:val="18"/>
                <w:szCs w:val="18"/>
              </w:rPr>
              <w:t>表—13</w:t>
            </w:r>
          </w:p>
        </w:tc>
      </w:tr>
    </w:tbl>
    <w:p>
      <w:pPr>
        <w:pStyle w:val="47"/>
        <w:ind w:firstLine="192"/>
      </w:pPr>
    </w:p>
    <w:tbl>
      <w:tblPr>
        <w:tblStyle w:val="49"/>
        <w:tblW w:w="9945" w:type="dxa"/>
        <w:jc w:val="center"/>
        <w:tblLayout w:type="autofit"/>
        <w:tblCellMar>
          <w:top w:w="0" w:type="dxa"/>
          <w:left w:w="108" w:type="dxa"/>
          <w:bottom w:w="0" w:type="dxa"/>
          <w:right w:w="108" w:type="dxa"/>
        </w:tblCellMar>
      </w:tblPr>
      <w:tblGrid>
        <w:gridCol w:w="626"/>
        <w:gridCol w:w="2364"/>
        <w:gridCol w:w="716"/>
        <w:gridCol w:w="1316"/>
        <w:gridCol w:w="750"/>
        <w:gridCol w:w="403"/>
        <w:gridCol w:w="661"/>
        <w:gridCol w:w="1100"/>
        <w:gridCol w:w="1123"/>
        <w:gridCol w:w="886"/>
      </w:tblGrid>
      <w:tr>
        <w:tblPrEx>
          <w:tblCellMar>
            <w:top w:w="0" w:type="dxa"/>
            <w:left w:w="108" w:type="dxa"/>
            <w:bottom w:w="0" w:type="dxa"/>
            <w:right w:w="108" w:type="dxa"/>
          </w:tblCellMar>
        </w:tblPrEx>
        <w:trPr>
          <w:trHeight w:val="229" w:hRule="atLeast"/>
          <w:jc w:val="center"/>
        </w:trPr>
        <w:tc>
          <w:tcPr>
            <w:tcW w:w="9945" w:type="dxa"/>
            <w:gridSpan w:val="10"/>
            <w:tcBorders>
              <w:top w:val="nil"/>
              <w:left w:val="nil"/>
              <w:bottom w:val="nil"/>
              <w:right w:val="nil"/>
            </w:tcBorders>
            <w:shd w:val="clear" w:color="auto" w:fill="auto"/>
            <w:vAlign w:val="center"/>
          </w:tcPr>
          <w:p>
            <w:pPr>
              <w:spacing w:line="240" w:lineRule="auto"/>
              <w:jc w:val="center"/>
              <w:textAlignment w:val="center"/>
              <w:rPr>
                <w:rFonts w:ascii="宋体" w:hAnsi="宋体" w:cs="宋体"/>
                <w:b/>
                <w:bCs/>
                <w:color w:val="000000"/>
                <w:sz w:val="40"/>
                <w:szCs w:val="40"/>
              </w:rPr>
            </w:pPr>
            <w:r>
              <w:rPr>
                <w:rFonts w:hint="eastAsia" w:ascii="宋体" w:hAnsi="宋体" w:cs="宋体"/>
                <w:b/>
                <w:bCs/>
                <w:color w:val="000000"/>
                <w:kern w:val="0"/>
                <w:sz w:val="40"/>
                <w:szCs w:val="40"/>
              </w:rPr>
              <w:t>承包人提供主要材料和工程设备一览表</w:t>
            </w:r>
          </w:p>
        </w:tc>
      </w:tr>
      <w:tr>
        <w:tblPrEx>
          <w:tblCellMar>
            <w:top w:w="0" w:type="dxa"/>
            <w:left w:w="108" w:type="dxa"/>
            <w:bottom w:w="0" w:type="dxa"/>
            <w:right w:w="108" w:type="dxa"/>
          </w:tblCellMar>
        </w:tblPrEx>
        <w:trPr>
          <w:trHeight w:val="90" w:hRule="atLeast"/>
          <w:jc w:val="center"/>
        </w:trPr>
        <w:tc>
          <w:tcPr>
            <w:tcW w:w="9945" w:type="dxa"/>
            <w:gridSpan w:val="10"/>
            <w:tcBorders>
              <w:top w:val="nil"/>
              <w:left w:val="nil"/>
              <w:bottom w:val="nil"/>
              <w:right w:val="nil"/>
            </w:tcBorders>
            <w:shd w:val="clear" w:color="auto" w:fill="auto"/>
            <w:vAlign w:val="center"/>
          </w:tcPr>
          <w:p>
            <w:pPr>
              <w:spacing w:line="240" w:lineRule="auto"/>
              <w:jc w:val="center"/>
              <w:textAlignment w:val="center"/>
              <w:rPr>
                <w:rFonts w:ascii="宋体" w:hAnsi="宋体" w:cs="宋体"/>
                <w:color w:val="000000"/>
                <w:sz w:val="32"/>
                <w:szCs w:val="32"/>
              </w:rPr>
            </w:pPr>
            <w:r>
              <w:rPr>
                <w:rFonts w:hint="eastAsia" w:ascii="宋体" w:hAnsi="宋体" w:cs="宋体"/>
                <w:color w:val="000000"/>
                <w:kern w:val="0"/>
                <w:sz w:val="32"/>
                <w:szCs w:val="32"/>
              </w:rPr>
              <w:t>(适用于造价信息差额调整法)</w:t>
            </w:r>
          </w:p>
        </w:tc>
      </w:tr>
      <w:tr>
        <w:tblPrEx>
          <w:tblCellMar>
            <w:top w:w="0" w:type="dxa"/>
            <w:left w:w="108" w:type="dxa"/>
            <w:bottom w:w="0" w:type="dxa"/>
            <w:right w:w="108" w:type="dxa"/>
          </w:tblCellMar>
        </w:tblPrEx>
        <w:trPr>
          <w:trHeight w:val="90" w:hRule="atLeast"/>
          <w:jc w:val="center"/>
        </w:trPr>
        <w:tc>
          <w:tcPr>
            <w:tcW w:w="6175" w:type="dxa"/>
            <w:gridSpan w:val="6"/>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工程名称：武警茂名支队机动中队综合智慧训练场建设项目（一期）市政</w:t>
            </w:r>
          </w:p>
        </w:tc>
        <w:tc>
          <w:tcPr>
            <w:tcW w:w="1761" w:type="dxa"/>
            <w:gridSpan w:val="2"/>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标段：</w:t>
            </w:r>
          </w:p>
        </w:tc>
        <w:tc>
          <w:tcPr>
            <w:tcW w:w="2009" w:type="dxa"/>
            <w:gridSpan w:val="2"/>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20"/>
                <w:szCs w:val="20"/>
              </w:rPr>
            </w:pPr>
            <w:r>
              <w:rPr>
                <w:rFonts w:hint="eastAsia" w:ascii="宋体" w:hAnsi="宋体" w:cs="宋体"/>
                <w:color w:val="000000"/>
                <w:kern w:val="0"/>
                <w:sz w:val="20"/>
                <w:szCs w:val="20"/>
              </w:rPr>
              <w:t>第 1 页  共 1 页</w:t>
            </w:r>
          </w:p>
        </w:tc>
      </w:tr>
      <w:tr>
        <w:tblPrEx>
          <w:tblCellMar>
            <w:top w:w="0" w:type="dxa"/>
            <w:left w:w="108" w:type="dxa"/>
            <w:bottom w:w="0" w:type="dxa"/>
            <w:right w:w="108" w:type="dxa"/>
          </w:tblCellMar>
        </w:tblPrEx>
        <w:trPr>
          <w:trHeight w:val="825" w:hRule="atLeast"/>
          <w:jc w:val="center"/>
        </w:trPr>
        <w:tc>
          <w:tcPr>
            <w:tcW w:w="626" w:type="dxa"/>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序号</w:t>
            </w:r>
          </w:p>
        </w:tc>
        <w:tc>
          <w:tcPr>
            <w:tcW w:w="2364"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名称、规格、型号</w:t>
            </w:r>
          </w:p>
        </w:tc>
        <w:tc>
          <w:tcPr>
            <w:tcW w:w="716"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单位</w:t>
            </w:r>
          </w:p>
        </w:tc>
        <w:tc>
          <w:tcPr>
            <w:tcW w:w="1316"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数量</w:t>
            </w:r>
          </w:p>
        </w:tc>
        <w:tc>
          <w:tcPr>
            <w:tcW w:w="750"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风险系数</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1064"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基准单价</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（元）</w:t>
            </w:r>
          </w:p>
        </w:tc>
        <w:tc>
          <w:tcPr>
            <w:tcW w:w="1100"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投标单价</w:t>
            </w:r>
          </w:p>
        </w:tc>
        <w:tc>
          <w:tcPr>
            <w:tcW w:w="1123"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发承包人</w:t>
            </w:r>
          </w:p>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确认单价</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(元)</w:t>
            </w:r>
          </w:p>
        </w:tc>
        <w:tc>
          <w:tcPr>
            <w:tcW w:w="886" w:type="dxa"/>
            <w:tcBorders>
              <w:top w:val="single" w:color="000000" w:sz="8"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备注</w:t>
            </w:r>
          </w:p>
        </w:tc>
      </w:tr>
      <w:tr>
        <w:tblPrEx>
          <w:tblCellMar>
            <w:top w:w="0" w:type="dxa"/>
            <w:left w:w="108" w:type="dxa"/>
            <w:bottom w:w="0" w:type="dxa"/>
            <w:right w:w="108" w:type="dxa"/>
          </w:tblCellMar>
        </w:tblPrEx>
        <w:trPr>
          <w:trHeight w:val="57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 xml:space="preserve">人工费 </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元</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FF0000"/>
                <w:sz w:val="20"/>
                <w:szCs w:val="20"/>
              </w:rPr>
            </w:pPr>
            <w:r>
              <w:rPr>
                <w:rFonts w:hint="eastAsia" w:ascii="宋体" w:hAnsi="宋体" w:cs="宋体"/>
                <w:color w:val="000000"/>
                <w:kern w:val="0"/>
                <w:sz w:val="20"/>
                <w:szCs w:val="20"/>
              </w:rPr>
              <w:t>0.96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FF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复合普通硅酸盐水泥 P.C 32.5</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t</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0.161</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315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 xml:space="preserve">中砂 </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m3</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247.68</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156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 xml:space="preserve">石英砂 </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kg</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244966.4</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 xml:space="preserve">石屑 </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m3</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120.4555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灰砂砖 240×115×53</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千块</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61.9228</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560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彩色EPDM橡胶颗粒地垫 （新国际） 15mm</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m2</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3716.46</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165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8</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 xml:space="preserve">50mm厚人造草坪 </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m2</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9186.24</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53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9</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 xml:space="preserve">水 </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m3</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73.7727</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3.83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10</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预制混凝土盖板 600*450*50mm</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块</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640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45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11</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镀锌方通 100*100*3</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kg</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1362.5691</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3.8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12</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镀锌方通 40*40*2</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kg</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714.827</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3.8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13</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镀锌方通 40*20*1.5</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kg</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549.826</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3.8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14</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普通预拌混凝土 碎石粒径综合考虑 C30</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m3</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1470.2343</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377.5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15</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湿拌砌筑砂浆 砌筑灰缝≥5mm M7.5</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m3</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28.3088</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450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16</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湿拌抹灰砂浆 一次抹灰厚度≥5mm M10</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m3</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5.9253</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450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17</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湿拌抹灰砂浆 一次抹灰厚度≥5mm M20</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m3</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13.044</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485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18</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湿拌防水砂浆：P6 用于抗渗压力要求的工程部位 M10</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m3</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0.0346</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585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19</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 xml:space="preserve">机上人工 </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工日</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85.0728</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220.8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20</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汽油 (机械用)国Ⅲ93#</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kg</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32.0816</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10.57</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21</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柴油 (机械用)0#</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kg</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2235.5955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8.66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22</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电 (机械用)</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kw·h</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2531.5202</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0.64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26"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26" w:type="dxa"/>
            <w:tcBorders>
              <w:top w:val="single" w:color="000000" w:sz="4" w:space="0"/>
              <w:left w:val="single" w:color="000000" w:sz="8" w:space="0"/>
              <w:bottom w:val="single" w:color="000000" w:sz="8"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364"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316"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50"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4"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00"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23"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886" w:type="dxa"/>
            <w:tcBorders>
              <w:top w:val="single" w:color="000000" w:sz="4" w:space="0"/>
              <w:left w:val="single" w:color="000000" w:sz="4" w:space="0"/>
              <w:bottom w:val="single" w:color="000000" w:sz="8"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90" w:hRule="atLeast"/>
          <w:jc w:val="center"/>
        </w:trPr>
        <w:tc>
          <w:tcPr>
            <w:tcW w:w="9945" w:type="dxa"/>
            <w:gridSpan w:val="10"/>
            <w:tcBorders>
              <w:top w:val="nil"/>
              <w:left w:val="nil"/>
              <w:bottom w:val="nil"/>
              <w:right w:val="nil"/>
            </w:tcBorders>
            <w:shd w:val="clear" w:color="auto" w:fill="auto"/>
            <w:vAlign w:val="center"/>
          </w:tcPr>
          <w:p>
            <w:pPr>
              <w:spacing w:line="240" w:lineRule="auto"/>
              <w:jc w:val="left"/>
              <w:textAlignment w:val="center"/>
              <w:rPr>
                <w:rFonts w:ascii="宋体" w:hAnsi="宋体" w:cs="宋体"/>
                <w:color w:val="000000"/>
                <w:kern w:val="0"/>
                <w:sz w:val="18"/>
                <w:szCs w:val="18"/>
              </w:rPr>
            </w:pPr>
            <w:r>
              <w:rPr>
                <w:rFonts w:hint="eastAsia" w:ascii="宋体" w:hAnsi="宋体" w:cs="宋体"/>
                <w:color w:val="000000"/>
                <w:kern w:val="0"/>
                <w:sz w:val="18"/>
                <w:szCs w:val="18"/>
              </w:rPr>
              <w:t>注：1.此表由招标人填写除“投标单价”栏的内容，投标人在投标时自主确定投标单价。</w:t>
            </w:r>
          </w:p>
          <w:p>
            <w:pPr>
              <w:spacing w:line="240" w:lineRule="auto"/>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2.基准单价应优先采用工程造价管理机构发布的单价，未发布的，通过市场调查确定其基准单价。</w:t>
            </w:r>
          </w:p>
        </w:tc>
      </w:tr>
      <w:tr>
        <w:tblPrEx>
          <w:tblCellMar>
            <w:top w:w="0" w:type="dxa"/>
            <w:left w:w="108" w:type="dxa"/>
            <w:bottom w:w="0" w:type="dxa"/>
            <w:right w:w="108" w:type="dxa"/>
          </w:tblCellMar>
        </w:tblPrEx>
        <w:trPr>
          <w:trHeight w:val="90" w:hRule="atLeast"/>
          <w:jc w:val="center"/>
        </w:trPr>
        <w:tc>
          <w:tcPr>
            <w:tcW w:w="6175" w:type="dxa"/>
            <w:gridSpan w:val="6"/>
            <w:tcBorders>
              <w:top w:val="nil"/>
              <w:left w:val="nil"/>
              <w:bottom w:val="nil"/>
              <w:right w:val="nil"/>
            </w:tcBorders>
            <w:shd w:val="clear" w:color="auto" w:fill="auto"/>
            <w:vAlign w:val="center"/>
          </w:tcPr>
          <w:p>
            <w:pPr>
              <w:spacing w:line="240" w:lineRule="auto"/>
              <w:rPr>
                <w:rFonts w:ascii="宋体" w:hAnsi="宋体" w:cs="宋体"/>
                <w:color w:val="000000"/>
                <w:sz w:val="18"/>
                <w:szCs w:val="18"/>
              </w:rPr>
            </w:pPr>
          </w:p>
        </w:tc>
        <w:tc>
          <w:tcPr>
            <w:tcW w:w="1761" w:type="dxa"/>
            <w:gridSpan w:val="2"/>
            <w:tcBorders>
              <w:top w:val="nil"/>
              <w:left w:val="nil"/>
              <w:bottom w:val="nil"/>
              <w:right w:val="nil"/>
            </w:tcBorders>
            <w:shd w:val="clear" w:color="auto" w:fill="auto"/>
            <w:vAlign w:val="center"/>
          </w:tcPr>
          <w:p>
            <w:pPr>
              <w:spacing w:line="240" w:lineRule="auto"/>
              <w:rPr>
                <w:rFonts w:ascii="宋体" w:hAnsi="宋体" w:cs="宋体"/>
                <w:color w:val="000000"/>
                <w:sz w:val="18"/>
                <w:szCs w:val="18"/>
              </w:rPr>
            </w:pPr>
          </w:p>
        </w:tc>
        <w:tc>
          <w:tcPr>
            <w:tcW w:w="2009" w:type="dxa"/>
            <w:gridSpan w:val="2"/>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18"/>
                <w:szCs w:val="18"/>
              </w:rPr>
            </w:pPr>
            <w:r>
              <w:rPr>
                <w:rFonts w:hint="eastAsia" w:ascii="宋体" w:hAnsi="宋体" w:cs="宋体"/>
                <w:color w:val="000000"/>
                <w:kern w:val="0"/>
                <w:sz w:val="18"/>
                <w:szCs w:val="18"/>
              </w:rPr>
              <w:t>表-21</w:t>
            </w:r>
          </w:p>
        </w:tc>
      </w:tr>
    </w:tbl>
    <w:p>
      <w:pPr>
        <w:pStyle w:val="47"/>
        <w:ind w:firstLine="192"/>
      </w:pPr>
    </w:p>
    <w:tbl>
      <w:tblPr>
        <w:tblStyle w:val="49"/>
        <w:tblW w:w="0" w:type="auto"/>
        <w:jc w:val="center"/>
        <w:tblLayout w:type="autofit"/>
        <w:tblCellMar>
          <w:top w:w="0" w:type="dxa"/>
          <w:left w:w="108" w:type="dxa"/>
          <w:bottom w:w="0" w:type="dxa"/>
          <w:right w:w="108" w:type="dxa"/>
        </w:tblCellMar>
      </w:tblPr>
      <w:tblGrid>
        <w:gridCol w:w="1273"/>
        <w:gridCol w:w="4868"/>
        <w:gridCol w:w="1037"/>
        <w:gridCol w:w="1675"/>
      </w:tblGrid>
      <w:tr>
        <w:tblPrEx>
          <w:tblCellMar>
            <w:top w:w="0" w:type="dxa"/>
            <w:left w:w="108" w:type="dxa"/>
            <w:bottom w:w="0" w:type="dxa"/>
            <w:right w:w="108" w:type="dxa"/>
          </w:tblCellMar>
        </w:tblPrEx>
        <w:trPr>
          <w:trHeight w:val="101" w:hRule="atLeast"/>
          <w:jc w:val="center"/>
        </w:trPr>
        <w:tc>
          <w:tcPr>
            <w:tcW w:w="0" w:type="auto"/>
            <w:gridSpan w:val="4"/>
            <w:tcBorders>
              <w:top w:val="nil"/>
              <w:left w:val="nil"/>
              <w:bottom w:val="nil"/>
              <w:right w:val="nil"/>
            </w:tcBorders>
            <w:shd w:val="clear" w:color="auto" w:fill="auto"/>
            <w:vAlign w:val="center"/>
          </w:tcPr>
          <w:p>
            <w:pPr>
              <w:spacing w:line="240" w:lineRule="auto"/>
              <w:jc w:val="center"/>
              <w:textAlignment w:val="center"/>
              <w:rPr>
                <w:rFonts w:ascii="宋体" w:hAnsi="宋体" w:cs="宋体"/>
                <w:b/>
                <w:bCs/>
                <w:color w:val="000000"/>
                <w:sz w:val="40"/>
                <w:szCs w:val="40"/>
              </w:rPr>
            </w:pPr>
            <w:r>
              <w:rPr>
                <w:rFonts w:hint="eastAsia" w:ascii="宋体" w:hAnsi="宋体" w:cs="宋体"/>
                <w:b/>
                <w:bCs/>
                <w:color w:val="000000"/>
                <w:kern w:val="0"/>
                <w:sz w:val="40"/>
                <w:szCs w:val="40"/>
              </w:rPr>
              <w:t>单位工程招标控制价汇总表</w:t>
            </w:r>
          </w:p>
        </w:tc>
      </w:tr>
      <w:tr>
        <w:tblPrEx>
          <w:tblCellMar>
            <w:top w:w="0" w:type="dxa"/>
            <w:left w:w="108" w:type="dxa"/>
            <w:bottom w:w="0" w:type="dxa"/>
            <w:right w:w="108" w:type="dxa"/>
          </w:tblCellMar>
        </w:tblPrEx>
        <w:trPr>
          <w:trHeight w:val="90" w:hRule="atLeast"/>
          <w:jc w:val="center"/>
        </w:trPr>
        <w:tc>
          <w:tcPr>
            <w:tcW w:w="0" w:type="auto"/>
            <w:gridSpan w:val="2"/>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工程名称：武警茂名支队机动中队综合智慧训练场建设项目（一期）-安装</w:t>
            </w:r>
          </w:p>
        </w:tc>
        <w:tc>
          <w:tcPr>
            <w:tcW w:w="0" w:type="auto"/>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标段：</w:t>
            </w:r>
          </w:p>
        </w:tc>
        <w:tc>
          <w:tcPr>
            <w:tcW w:w="0" w:type="auto"/>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20"/>
                <w:szCs w:val="20"/>
              </w:rPr>
            </w:pPr>
            <w:r>
              <w:rPr>
                <w:rFonts w:hint="eastAsia" w:ascii="宋体" w:hAnsi="宋体" w:cs="宋体"/>
                <w:color w:val="000000"/>
                <w:kern w:val="0"/>
                <w:sz w:val="20"/>
                <w:szCs w:val="20"/>
              </w:rPr>
              <w:t>第 1 页  共 1 页</w:t>
            </w:r>
          </w:p>
        </w:tc>
      </w:tr>
      <w:tr>
        <w:tblPrEx>
          <w:tblCellMar>
            <w:top w:w="0" w:type="dxa"/>
            <w:left w:w="108" w:type="dxa"/>
            <w:bottom w:w="0" w:type="dxa"/>
            <w:right w:w="108" w:type="dxa"/>
          </w:tblCellMar>
        </w:tblPrEx>
        <w:trPr>
          <w:trHeight w:val="375" w:hRule="atLeast"/>
          <w:jc w:val="center"/>
        </w:trPr>
        <w:tc>
          <w:tcPr>
            <w:tcW w:w="0" w:type="auto"/>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序号</w:t>
            </w:r>
          </w:p>
        </w:tc>
        <w:tc>
          <w:tcPr>
            <w:tcW w:w="0" w:type="auto"/>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汇总内容</w:t>
            </w:r>
          </w:p>
        </w:tc>
        <w:tc>
          <w:tcPr>
            <w:tcW w:w="0" w:type="auto"/>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金额:(元)</w:t>
            </w:r>
          </w:p>
        </w:tc>
        <w:tc>
          <w:tcPr>
            <w:tcW w:w="0" w:type="auto"/>
            <w:tcBorders>
              <w:top w:val="single" w:color="000000" w:sz="8"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其中：暂估价(元)</w:t>
            </w: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分部分项合计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措施合计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绿色施工安全防护措施费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21113.66</w:t>
            </w: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其他措施费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其他项目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w:t>
            </w: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暂列金额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暂估价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计日工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总承包服务费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预算包干费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工程优质费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概算幅度差</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索赔费用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现场签证费用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其他费用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税前工程造价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增值税销项税额</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w:t>
            </w: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总造价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0" w:type="auto"/>
            <w:gridSpan w:val="2"/>
            <w:tcBorders>
              <w:top w:val="single" w:color="000000" w:sz="4" w:space="0"/>
              <w:left w:val="single" w:color="000000" w:sz="8" w:space="0"/>
              <w:bottom w:val="single" w:color="000000" w:sz="8"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招标控制价合计=1+2+3+5</w:t>
            </w:r>
          </w:p>
        </w:tc>
        <w:tc>
          <w:tcPr>
            <w:tcW w:w="0" w:type="auto"/>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0" w:type="auto"/>
            <w:tcBorders>
              <w:top w:val="single" w:color="000000" w:sz="4" w:space="0"/>
              <w:left w:val="single" w:color="000000" w:sz="4" w:space="0"/>
              <w:bottom w:val="single" w:color="000000" w:sz="8" w:space="0"/>
              <w:right w:val="single" w:color="000000" w:sz="8"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0.00</w:t>
            </w:r>
          </w:p>
        </w:tc>
      </w:tr>
      <w:tr>
        <w:tblPrEx>
          <w:tblCellMar>
            <w:top w:w="0" w:type="dxa"/>
            <w:left w:w="108" w:type="dxa"/>
            <w:bottom w:w="0" w:type="dxa"/>
            <w:right w:w="108" w:type="dxa"/>
          </w:tblCellMar>
        </w:tblPrEx>
        <w:trPr>
          <w:trHeight w:val="95" w:hRule="atLeast"/>
          <w:jc w:val="center"/>
        </w:trPr>
        <w:tc>
          <w:tcPr>
            <w:tcW w:w="0" w:type="auto"/>
            <w:gridSpan w:val="4"/>
            <w:tcBorders>
              <w:top w:val="nil"/>
              <w:left w:val="nil"/>
              <w:bottom w:val="nil"/>
              <w:right w:val="nil"/>
            </w:tcBorders>
            <w:shd w:val="clear" w:color="auto" w:fill="auto"/>
          </w:tcPr>
          <w:p>
            <w:pPr>
              <w:spacing w:line="240" w:lineRule="auto"/>
              <w:jc w:val="left"/>
              <w:textAlignment w:val="top"/>
              <w:rPr>
                <w:rFonts w:ascii="宋体" w:hAnsi="宋体" w:cs="宋体"/>
                <w:color w:val="000000"/>
                <w:sz w:val="18"/>
                <w:szCs w:val="18"/>
              </w:rPr>
            </w:pPr>
            <w:r>
              <w:rPr>
                <w:rFonts w:hint="eastAsia" w:ascii="宋体" w:hAnsi="宋体" w:cs="宋体"/>
                <w:color w:val="000000"/>
                <w:kern w:val="0"/>
                <w:sz w:val="18"/>
                <w:szCs w:val="18"/>
              </w:rPr>
              <w:t>注：本表适用于单位工程招标控制价或投标报价的汇总，如无单位工程划分，单项工程也使用本表汇总</w:t>
            </w:r>
          </w:p>
        </w:tc>
      </w:tr>
      <w:tr>
        <w:tblPrEx>
          <w:tblCellMar>
            <w:top w:w="0" w:type="dxa"/>
            <w:left w:w="108" w:type="dxa"/>
            <w:bottom w:w="0" w:type="dxa"/>
            <w:right w:w="108" w:type="dxa"/>
          </w:tblCellMar>
        </w:tblPrEx>
        <w:trPr>
          <w:trHeight w:val="90" w:hRule="atLeast"/>
          <w:jc w:val="center"/>
        </w:trPr>
        <w:tc>
          <w:tcPr>
            <w:tcW w:w="0" w:type="auto"/>
            <w:gridSpan w:val="2"/>
            <w:tcBorders>
              <w:top w:val="nil"/>
              <w:left w:val="nil"/>
              <w:bottom w:val="nil"/>
              <w:right w:val="nil"/>
            </w:tcBorders>
            <w:shd w:val="clear" w:color="auto" w:fill="auto"/>
            <w:vAlign w:val="center"/>
          </w:tcPr>
          <w:p>
            <w:pPr>
              <w:spacing w:line="240" w:lineRule="auto"/>
              <w:jc w:val="left"/>
              <w:rPr>
                <w:rFonts w:ascii="宋体" w:hAnsi="宋体" w:cs="宋体"/>
                <w:color w:val="000000"/>
                <w:sz w:val="18"/>
                <w:szCs w:val="18"/>
              </w:rPr>
            </w:pPr>
          </w:p>
        </w:tc>
        <w:tc>
          <w:tcPr>
            <w:tcW w:w="0" w:type="auto"/>
            <w:tcBorders>
              <w:top w:val="nil"/>
              <w:left w:val="nil"/>
              <w:bottom w:val="nil"/>
              <w:right w:val="nil"/>
            </w:tcBorders>
            <w:shd w:val="clear" w:color="auto" w:fill="auto"/>
            <w:vAlign w:val="center"/>
          </w:tcPr>
          <w:p>
            <w:pPr>
              <w:spacing w:line="240" w:lineRule="auto"/>
              <w:jc w:val="center"/>
              <w:rPr>
                <w:rFonts w:ascii="宋体" w:hAnsi="宋体" w:cs="宋体"/>
                <w:color w:val="000000"/>
                <w:sz w:val="18"/>
                <w:szCs w:val="18"/>
              </w:rPr>
            </w:pPr>
          </w:p>
        </w:tc>
        <w:tc>
          <w:tcPr>
            <w:tcW w:w="0" w:type="auto"/>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18"/>
                <w:szCs w:val="18"/>
              </w:rPr>
            </w:pPr>
            <w:r>
              <w:rPr>
                <w:rFonts w:hint="eastAsia" w:ascii="宋体" w:hAnsi="宋体" w:cs="宋体"/>
                <w:color w:val="000000"/>
                <w:kern w:val="0"/>
                <w:sz w:val="18"/>
                <w:szCs w:val="18"/>
              </w:rPr>
              <w:t>表—04</w:t>
            </w:r>
          </w:p>
        </w:tc>
      </w:tr>
    </w:tbl>
    <w:p>
      <w:pPr>
        <w:pStyle w:val="47"/>
        <w:ind w:firstLine="192"/>
      </w:pPr>
    </w:p>
    <w:tbl>
      <w:tblPr>
        <w:tblStyle w:val="49"/>
        <w:tblW w:w="5002" w:type="pct"/>
        <w:jc w:val="center"/>
        <w:tblLayout w:type="fixed"/>
        <w:tblCellMar>
          <w:top w:w="0" w:type="dxa"/>
          <w:left w:w="108" w:type="dxa"/>
          <w:bottom w:w="0" w:type="dxa"/>
          <w:right w:w="108" w:type="dxa"/>
        </w:tblCellMar>
      </w:tblPr>
      <w:tblGrid>
        <w:gridCol w:w="410"/>
        <w:gridCol w:w="1381"/>
        <w:gridCol w:w="1374"/>
        <w:gridCol w:w="2295"/>
        <w:gridCol w:w="206"/>
        <w:gridCol w:w="445"/>
        <w:gridCol w:w="919"/>
        <w:gridCol w:w="123"/>
        <w:gridCol w:w="481"/>
        <w:gridCol w:w="613"/>
        <w:gridCol w:w="794"/>
      </w:tblGrid>
      <w:tr>
        <w:tblPrEx>
          <w:tblCellMar>
            <w:top w:w="0" w:type="dxa"/>
            <w:left w:w="108" w:type="dxa"/>
            <w:bottom w:w="0" w:type="dxa"/>
            <w:right w:w="108" w:type="dxa"/>
          </w:tblCellMar>
        </w:tblPrEx>
        <w:trPr>
          <w:trHeight w:val="141" w:hRule="atLeast"/>
          <w:jc w:val="center"/>
        </w:trPr>
        <w:tc>
          <w:tcPr>
            <w:tcW w:w="5000" w:type="pct"/>
            <w:gridSpan w:val="11"/>
            <w:tcBorders>
              <w:top w:val="nil"/>
              <w:left w:val="nil"/>
              <w:bottom w:val="nil"/>
              <w:right w:val="nil"/>
            </w:tcBorders>
            <w:shd w:val="clear" w:color="auto" w:fill="auto"/>
            <w:vAlign w:val="center"/>
          </w:tcPr>
          <w:p>
            <w:pPr>
              <w:spacing w:line="240" w:lineRule="auto"/>
              <w:jc w:val="center"/>
              <w:textAlignment w:val="center"/>
              <w:rPr>
                <w:rFonts w:ascii="宋体" w:hAnsi="宋体" w:cs="宋体"/>
                <w:b/>
                <w:bCs/>
                <w:color w:val="000000"/>
                <w:sz w:val="40"/>
                <w:szCs w:val="40"/>
              </w:rPr>
            </w:pPr>
            <w:r>
              <w:rPr>
                <w:rFonts w:hint="eastAsia" w:ascii="宋体" w:hAnsi="宋体" w:cs="宋体"/>
                <w:b/>
                <w:bCs/>
                <w:color w:val="000000"/>
                <w:kern w:val="0"/>
                <w:sz w:val="40"/>
                <w:szCs w:val="40"/>
              </w:rPr>
              <w:t>分部分项工程和单价措施项目清单与计价表</w:t>
            </w:r>
          </w:p>
        </w:tc>
      </w:tr>
      <w:tr>
        <w:tblPrEx>
          <w:tblCellMar>
            <w:top w:w="0" w:type="dxa"/>
            <w:left w:w="108" w:type="dxa"/>
            <w:bottom w:w="0" w:type="dxa"/>
            <w:right w:w="108" w:type="dxa"/>
          </w:tblCellMar>
        </w:tblPrEx>
        <w:trPr>
          <w:trHeight w:val="570" w:hRule="atLeast"/>
          <w:jc w:val="center"/>
        </w:trPr>
        <w:tc>
          <w:tcPr>
            <w:tcW w:w="3020" w:type="pct"/>
            <w:gridSpan w:val="4"/>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工程名称：武警茂名支队机动中队综合智慧训练场建设项目（一期）-安装</w:t>
            </w:r>
          </w:p>
        </w:tc>
        <w:tc>
          <w:tcPr>
            <w:tcW w:w="936" w:type="pct"/>
            <w:gridSpan w:val="4"/>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标段：</w:t>
            </w:r>
          </w:p>
        </w:tc>
        <w:tc>
          <w:tcPr>
            <w:tcW w:w="1043" w:type="pct"/>
            <w:gridSpan w:val="3"/>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20"/>
                <w:szCs w:val="20"/>
              </w:rPr>
            </w:pPr>
            <w:r>
              <w:rPr>
                <w:rFonts w:hint="eastAsia" w:ascii="宋体" w:hAnsi="宋体" w:cs="宋体"/>
                <w:color w:val="000000"/>
                <w:kern w:val="0"/>
                <w:sz w:val="20"/>
                <w:szCs w:val="20"/>
              </w:rPr>
              <w:t>第 1 页  共 1 页</w:t>
            </w:r>
          </w:p>
        </w:tc>
      </w:tr>
      <w:tr>
        <w:tblPrEx>
          <w:tblCellMar>
            <w:top w:w="0" w:type="dxa"/>
            <w:left w:w="108" w:type="dxa"/>
            <w:bottom w:w="0" w:type="dxa"/>
            <w:right w:w="108" w:type="dxa"/>
          </w:tblCellMar>
        </w:tblPrEx>
        <w:trPr>
          <w:trHeight w:val="360" w:hRule="atLeast"/>
          <w:jc w:val="center"/>
        </w:trPr>
        <w:tc>
          <w:tcPr>
            <w:tcW w:w="227" w:type="pct"/>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序号</w:t>
            </w:r>
          </w:p>
        </w:tc>
        <w:tc>
          <w:tcPr>
            <w:tcW w:w="764"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项目编码</w:t>
            </w:r>
          </w:p>
        </w:tc>
        <w:tc>
          <w:tcPr>
            <w:tcW w:w="760"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项目名称</w:t>
            </w:r>
          </w:p>
        </w:tc>
        <w:tc>
          <w:tcPr>
            <w:tcW w:w="1383" w:type="pct"/>
            <w:gridSpan w:val="2"/>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项目特征描述</w:t>
            </w:r>
          </w:p>
        </w:tc>
        <w:tc>
          <w:tcPr>
            <w:tcW w:w="246"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计量单位</w:t>
            </w:r>
          </w:p>
        </w:tc>
        <w:tc>
          <w:tcPr>
            <w:tcW w:w="508"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工程量</w:t>
            </w:r>
          </w:p>
        </w:tc>
        <w:tc>
          <w:tcPr>
            <w:tcW w:w="1108" w:type="pct"/>
            <w:gridSpan w:val="4"/>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金额（元）</w:t>
            </w:r>
          </w:p>
        </w:tc>
      </w:tr>
      <w:tr>
        <w:tblPrEx>
          <w:tblCellMar>
            <w:top w:w="0" w:type="dxa"/>
            <w:left w:w="108" w:type="dxa"/>
            <w:bottom w:w="0" w:type="dxa"/>
            <w:right w:w="108" w:type="dxa"/>
          </w:tblCellMar>
        </w:tblPrEx>
        <w:trPr>
          <w:trHeight w:val="360" w:hRule="atLeast"/>
          <w:jc w:val="center"/>
        </w:trPr>
        <w:tc>
          <w:tcPr>
            <w:tcW w:w="227" w:type="pct"/>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64"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60"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383" w:type="pct"/>
            <w:gridSpan w:val="2"/>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6"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8"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3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综合单价</w:t>
            </w:r>
          </w:p>
        </w:tc>
        <w:tc>
          <w:tcPr>
            <w:tcW w:w="33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综合合价</w:t>
            </w: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其中</w:t>
            </w:r>
          </w:p>
        </w:tc>
      </w:tr>
      <w:tr>
        <w:tblPrEx>
          <w:tblCellMar>
            <w:top w:w="0" w:type="dxa"/>
            <w:left w:w="108" w:type="dxa"/>
            <w:bottom w:w="0" w:type="dxa"/>
            <w:right w:w="108" w:type="dxa"/>
          </w:tblCellMar>
        </w:tblPrEx>
        <w:trPr>
          <w:trHeight w:val="360" w:hRule="atLeast"/>
          <w:jc w:val="center"/>
        </w:trPr>
        <w:tc>
          <w:tcPr>
            <w:tcW w:w="227" w:type="pct"/>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64"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60"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383" w:type="pct"/>
            <w:gridSpan w:val="2"/>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6"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8"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3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3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暂估价</w:t>
            </w:r>
          </w:p>
        </w:tc>
      </w:tr>
      <w:tr>
        <w:tblPrEx>
          <w:tblCellMar>
            <w:top w:w="0" w:type="dxa"/>
            <w:left w:w="108" w:type="dxa"/>
            <w:bottom w:w="0" w:type="dxa"/>
            <w:right w:w="108" w:type="dxa"/>
          </w:tblCellMar>
        </w:tblPrEx>
        <w:trPr>
          <w:trHeight w:val="570" w:hRule="atLeast"/>
          <w:jc w:val="center"/>
        </w:trPr>
        <w:tc>
          <w:tcPr>
            <w:tcW w:w="227"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sz w:val="20"/>
                <w:szCs w:val="20"/>
              </w:rPr>
            </w:pP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sz w:val="20"/>
                <w:szCs w:val="20"/>
              </w:rPr>
            </w:pP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整个项目</w:t>
            </w:r>
          </w:p>
        </w:tc>
        <w:tc>
          <w:tcPr>
            <w:tcW w:w="13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sz w:val="20"/>
                <w:szCs w:val="20"/>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sz w:val="20"/>
                <w:szCs w:val="20"/>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sz w:val="20"/>
                <w:szCs w:val="20"/>
              </w:rPr>
            </w:pP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227"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1</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030503001001</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计算机</w:t>
            </w:r>
          </w:p>
        </w:tc>
        <w:tc>
          <w:tcPr>
            <w:tcW w:w="13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1.名称:计算机联想启天M435</w:t>
            </w: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套</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r>
              <w:rPr>
                <w:rFonts w:hint="eastAsia" w:ascii="宋体" w:hAnsi="宋体" w:cs="宋体"/>
                <w:kern w:val="0"/>
                <w:sz w:val="20"/>
                <w:szCs w:val="20"/>
              </w:rPr>
              <w:t>1</w:t>
            </w: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227"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2</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030506001001</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扩声系统设备</w:t>
            </w:r>
          </w:p>
        </w:tc>
        <w:tc>
          <w:tcPr>
            <w:tcW w:w="13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1.名称:音响</w:t>
            </w: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台</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r>
              <w:rPr>
                <w:rFonts w:hint="eastAsia" w:ascii="宋体" w:hAnsi="宋体" w:cs="宋体"/>
                <w:kern w:val="0"/>
                <w:sz w:val="20"/>
                <w:szCs w:val="20"/>
              </w:rPr>
              <w:t>1</w:t>
            </w: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18" w:hRule="atLeast"/>
          <w:jc w:val="center"/>
        </w:trPr>
        <w:tc>
          <w:tcPr>
            <w:tcW w:w="227"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3</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030507014001</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显示设备</w:t>
            </w:r>
          </w:p>
        </w:tc>
        <w:tc>
          <w:tcPr>
            <w:tcW w:w="13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1.名称:户外P10全彩LED显示大屏</w:t>
            </w: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m2</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r>
              <w:rPr>
                <w:rFonts w:hint="eastAsia" w:ascii="宋体" w:hAnsi="宋体" w:cs="宋体"/>
                <w:kern w:val="0"/>
                <w:sz w:val="20"/>
                <w:szCs w:val="20"/>
              </w:rPr>
              <w:t>81.7152</w:t>
            </w: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1080" w:hRule="atLeast"/>
          <w:jc w:val="center"/>
        </w:trPr>
        <w:tc>
          <w:tcPr>
            <w:tcW w:w="227"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4</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030701003001</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空调器</w:t>
            </w:r>
          </w:p>
        </w:tc>
        <w:tc>
          <w:tcPr>
            <w:tcW w:w="13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kern w:val="0"/>
                <w:sz w:val="20"/>
                <w:szCs w:val="20"/>
              </w:rPr>
            </w:pPr>
            <w:r>
              <w:rPr>
                <w:rFonts w:hint="eastAsia" w:ascii="宋体" w:hAnsi="宋体" w:cs="宋体"/>
                <w:kern w:val="0"/>
                <w:sz w:val="20"/>
                <w:szCs w:val="20"/>
              </w:rPr>
              <w:t>1.名称:分体式室外空调器</w:t>
            </w:r>
          </w:p>
          <w:p>
            <w:pPr>
              <w:spacing w:line="240" w:lineRule="auto"/>
              <w:jc w:val="left"/>
              <w:textAlignment w:val="center"/>
              <w:rPr>
                <w:rFonts w:ascii="宋体" w:hAnsi="宋体" w:cs="宋体"/>
                <w:kern w:val="0"/>
                <w:sz w:val="20"/>
                <w:szCs w:val="20"/>
              </w:rPr>
            </w:pPr>
            <w:r>
              <w:rPr>
                <w:rFonts w:hint="eastAsia" w:ascii="宋体" w:hAnsi="宋体" w:cs="宋体"/>
                <w:kern w:val="0"/>
                <w:sz w:val="20"/>
                <w:szCs w:val="20"/>
              </w:rPr>
              <w:t>2.规格:国产2匹</w:t>
            </w:r>
          </w:p>
          <w:p>
            <w:pPr>
              <w:spacing w:line="240" w:lineRule="auto"/>
              <w:jc w:val="left"/>
              <w:textAlignment w:val="center"/>
              <w:rPr>
                <w:rFonts w:ascii="宋体" w:hAnsi="宋体" w:cs="宋体"/>
                <w:sz w:val="20"/>
                <w:szCs w:val="20"/>
              </w:rPr>
            </w:pPr>
            <w:r>
              <w:rPr>
                <w:rFonts w:hint="eastAsia" w:ascii="宋体" w:hAnsi="宋体" w:cs="宋体"/>
                <w:kern w:val="0"/>
                <w:sz w:val="20"/>
                <w:szCs w:val="20"/>
              </w:rPr>
              <w:t>3.隔震垫(器)、支架形式、材质:不锈钢支架</w:t>
            </w: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台</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r>
              <w:rPr>
                <w:rFonts w:hint="eastAsia" w:ascii="宋体" w:hAnsi="宋体" w:cs="宋体"/>
                <w:kern w:val="0"/>
                <w:sz w:val="20"/>
                <w:szCs w:val="20"/>
              </w:rPr>
              <w:t>4</w:t>
            </w: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1590" w:hRule="atLeast"/>
          <w:jc w:val="center"/>
        </w:trPr>
        <w:tc>
          <w:tcPr>
            <w:tcW w:w="227"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5</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031001006001</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塑料管</w:t>
            </w:r>
          </w:p>
        </w:tc>
        <w:tc>
          <w:tcPr>
            <w:tcW w:w="13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kern w:val="0"/>
                <w:sz w:val="20"/>
                <w:szCs w:val="20"/>
              </w:rPr>
            </w:pPr>
            <w:r>
              <w:rPr>
                <w:rFonts w:hint="eastAsia" w:ascii="宋体" w:hAnsi="宋体" w:cs="宋体"/>
                <w:kern w:val="0"/>
                <w:sz w:val="20"/>
                <w:szCs w:val="20"/>
              </w:rPr>
              <w:t>1.安装部位:地下</w:t>
            </w:r>
          </w:p>
          <w:p>
            <w:pPr>
              <w:spacing w:line="240" w:lineRule="auto"/>
              <w:jc w:val="left"/>
              <w:textAlignment w:val="center"/>
              <w:rPr>
                <w:rFonts w:ascii="宋体" w:hAnsi="宋体" w:cs="宋体"/>
                <w:kern w:val="0"/>
                <w:sz w:val="20"/>
                <w:szCs w:val="20"/>
              </w:rPr>
            </w:pPr>
            <w:r>
              <w:rPr>
                <w:rFonts w:hint="eastAsia" w:ascii="宋体" w:hAnsi="宋体" w:cs="宋体"/>
                <w:kern w:val="0"/>
                <w:sz w:val="20"/>
                <w:szCs w:val="20"/>
              </w:rPr>
              <w:t>2.介质:雨水</w:t>
            </w:r>
          </w:p>
          <w:p>
            <w:pPr>
              <w:spacing w:line="240" w:lineRule="auto"/>
              <w:jc w:val="left"/>
              <w:textAlignment w:val="center"/>
              <w:rPr>
                <w:rFonts w:ascii="宋体" w:hAnsi="宋体" w:cs="宋体"/>
                <w:kern w:val="0"/>
                <w:sz w:val="20"/>
                <w:szCs w:val="20"/>
              </w:rPr>
            </w:pPr>
            <w:r>
              <w:rPr>
                <w:rFonts w:hint="eastAsia" w:ascii="宋体" w:hAnsi="宋体" w:cs="宋体"/>
                <w:kern w:val="0"/>
                <w:sz w:val="20"/>
                <w:szCs w:val="20"/>
              </w:rPr>
              <w:t>3.材质、规格:De315</w:t>
            </w:r>
          </w:p>
          <w:p>
            <w:pPr>
              <w:spacing w:line="240" w:lineRule="auto"/>
              <w:jc w:val="left"/>
              <w:textAlignment w:val="center"/>
              <w:rPr>
                <w:rFonts w:ascii="宋体" w:hAnsi="宋体" w:cs="宋体"/>
                <w:kern w:val="0"/>
                <w:sz w:val="20"/>
                <w:szCs w:val="20"/>
              </w:rPr>
            </w:pPr>
            <w:r>
              <w:rPr>
                <w:rFonts w:hint="eastAsia" w:ascii="宋体" w:hAnsi="宋体" w:cs="宋体"/>
                <w:kern w:val="0"/>
                <w:sz w:val="20"/>
                <w:szCs w:val="20"/>
              </w:rPr>
              <w:t>4.连接形式:粘接</w:t>
            </w:r>
          </w:p>
          <w:p>
            <w:pPr>
              <w:spacing w:line="240" w:lineRule="auto"/>
              <w:jc w:val="left"/>
              <w:textAlignment w:val="center"/>
              <w:rPr>
                <w:rFonts w:ascii="宋体" w:hAnsi="宋体" w:cs="宋体"/>
                <w:sz w:val="20"/>
                <w:szCs w:val="20"/>
              </w:rPr>
            </w:pPr>
            <w:r>
              <w:rPr>
                <w:rFonts w:hint="eastAsia" w:ascii="宋体" w:hAnsi="宋体" w:cs="宋体"/>
                <w:kern w:val="0"/>
                <w:sz w:val="20"/>
                <w:szCs w:val="20"/>
              </w:rPr>
              <w:t>5.压力试验及吹、洗设计要求:水压试验</w:t>
            </w: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m</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r>
              <w:rPr>
                <w:rFonts w:hint="eastAsia" w:ascii="宋体" w:hAnsi="宋体" w:cs="宋体"/>
                <w:kern w:val="0"/>
                <w:sz w:val="20"/>
                <w:szCs w:val="20"/>
              </w:rPr>
              <w:t>15</w:t>
            </w: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1080" w:hRule="atLeast"/>
          <w:jc w:val="center"/>
        </w:trPr>
        <w:tc>
          <w:tcPr>
            <w:tcW w:w="227"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030408003001</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电缆保护管</w:t>
            </w:r>
          </w:p>
        </w:tc>
        <w:tc>
          <w:tcPr>
            <w:tcW w:w="13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1.名称:电缆保护管</w:t>
            </w:r>
          </w:p>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2.材质:PC管</w:t>
            </w:r>
          </w:p>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3.规格:110</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4.敷设方式:埋地</w:t>
            </w: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11.5</w:t>
            </w: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1080" w:hRule="atLeast"/>
          <w:jc w:val="center"/>
        </w:trPr>
        <w:tc>
          <w:tcPr>
            <w:tcW w:w="227"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030408001001</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电力电缆</w:t>
            </w:r>
          </w:p>
        </w:tc>
        <w:tc>
          <w:tcPr>
            <w:tcW w:w="13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1.名称:电力电缆</w:t>
            </w:r>
          </w:p>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2.型号:WDZC-YJV</w:t>
            </w:r>
          </w:p>
          <w:p>
            <w:pPr>
              <w:spacing w:line="240" w:lineRule="auto"/>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3.规格:4x95+1x50mm2</w:t>
            </w:r>
          </w:p>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4.敷设方式、部位:埋地敷设</w:t>
            </w: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m</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12.5</w:t>
            </w: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227"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8</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030408006001</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电力电缆头</w:t>
            </w:r>
          </w:p>
        </w:tc>
        <w:tc>
          <w:tcPr>
            <w:tcW w:w="13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1.名称:电力电缆头</w:t>
            </w: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个</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227"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措施项目</w:t>
            </w:r>
          </w:p>
        </w:tc>
        <w:tc>
          <w:tcPr>
            <w:tcW w:w="13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227"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9</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031302007001</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高层施工增加</w:t>
            </w:r>
          </w:p>
        </w:tc>
        <w:tc>
          <w:tcPr>
            <w:tcW w:w="13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227"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10</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031301017001</w:t>
            </w: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脚手架搭拆费</w:t>
            </w:r>
          </w:p>
        </w:tc>
        <w:tc>
          <w:tcPr>
            <w:tcW w:w="13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227"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227"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227"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227"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227"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227"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6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4222" w:type="pct"/>
            <w:gridSpan w:val="9"/>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本页小计</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437"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570" w:hRule="atLeast"/>
          <w:jc w:val="center"/>
        </w:trPr>
        <w:tc>
          <w:tcPr>
            <w:tcW w:w="4222" w:type="pct"/>
            <w:gridSpan w:val="9"/>
            <w:tcBorders>
              <w:top w:val="single" w:color="000000" w:sz="4" w:space="0"/>
              <w:left w:val="single" w:color="000000" w:sz="8" w:space="0"/>
              <w:bottom w:val="single" w:color="000000" w:sz="8"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合   计</w:t>
            </w:r>
          </w:p>
        </w:tc>
        <w:tc>
          <w:tcPr>
            <w:tcW w:w="339" w:type="pct"/>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437" w:type="pct"/>
            <w:tcBorders>
              <w:top w:val="single" w:color="000000" w:sz="4" w:space="0"/>
              <w:left w:val="single" w:color="000000" w:sz="4" w:space="0"/>
              <w:bottom w:val="single" w:color="000000" w:sz="8"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90" w:hRule="atLeast"/>
          <w:jc w:val="center"/>
        </w:trPr>
        <w:tc>
          <w:tcPr>
            <w:tcW w:w="5000" w:type="pct"/>
            <w:gridSpan w:val="11"/>
            <w:tcBorders>
              <w:top w:val="nil"/>
              <w:left w:val="nil"/>
              <w:bottom w:val="nil"/>
              <w:right w:val="nil"/>
            </w:tcBorders>
            <w:shd w:val="clear" w:color="auto" w:fill="auto"/>
          </w:tcPr>
          <w:p>
            <w:pPr>
              <w:spacing w:line="240" w:lineRule="auto"/>
              <w:jc w:val="left"/>
              <w:textAlignment w:val="top"/>
              <w:rPr>
                <w:rFonts w:ascii="宋体" w:hAnsi="宋体" w:cs="宋体"/>
                <w:color w:val="000000"/>
                <w:sz w:val="18"/>
                <w:szCs w:val="18"/>
              </w:rPr>
            </w:pPr>
            <w:r>
              <w:rPr>
                <w:rFonts w:hint="eastAsia" w:ascii="宋体" w:hAnsi="宋体" w:cs="宋体"/>
                <w:color w:val="000000"/>
                <w:kern w:val="0"/>
                <w:sz w:val="18"/>
                <w:szCs w:val="18"/>
              </w:rPr>
              <w:t>注：为计取规费等的使用，可在表中增设其中：“定额人工费”。</w:t>
            </w:r>
          </w:p>
        </w:tc>
      </w:tr>
      <w:tr>
        <w:tblPrEx>
          <w:tblCellMar>
            <w:top w:w="0" w:type="dxa"/>
            <w:left w:w="108" w:type="dxa"/>
            <w:bottom w:w="0" w:type="dxa"/>
            <w:right w:w="108" w:type="dxa"/>
          </w:tblCellMar>
        </w:tblPrEx>
        <w:trPr>
          <w:trHeight w:val="90" w:hRule="atLeast"/>
          <w:jc w:val="center"/>
        </w:trPr>
        <w:tc>
          <w:tcPr>
            <w:tcW w:w="3020" w:type="pct"/>
            <w:gridSpan w:val="4"/>
            <w:tcBorders>
              <w:top w:val="nil"/>
              <w:left w:val="nil"/>
              <w:bottom w:val="nil"/>
              <w:right w:val="nil"/>
            </w:tcBorders>
            <w:shd w:val="clear" w:color="auto" w:fill="auto"/>
          </w:tcPr>
          <w:p>
            <w:pPr>
              <w:spacing w:line="240" w:lineRule="auto"/>
              <w:jc w:val="left"/>
              <w:rPr>
                <w:rFonts w:ascii="宋体" w:hAnsi="宋体" w:cs="宋体"/>
                <w:color w:val="000000"/>
                <w:sz w:val="18"/>
                <w:szCs w:val="18"/>
              </w:rPr>
            </w:pPr>
          </w:p>
        </w:tc>
        <w:tc>
          <w:tcPr>
            <w:tcW w:w="936" w:type="pct"/>
            <w:gridSpan w:val="4"/>
            <w:tcBorders>
              <w:top w:val="nil"/>
              <w:left w:val="nil"/>
              <w:bottom w:val="nil"/>
              <w:right w:val="nil"/>
            </w:tcBorders>
            <w:shd w:val="clear" w:color="auto" w:fill="auto"/>
          </w:tcPr>
          <w:p>
            <w:pPr>
              <w:spacing w:line="240" w:lineRule="auto"/>
              <w:jc w:val="left"/>
              <w:rPr>
                <w:rFonts w:ascii="宋体" w:hAnsi="宋体" w:cs="宋体"/>
                <w:color w:val="000000"/>
                <w:sz w:val="18"/>
                <w:szCs w:val="18"/>
                <w:u w:val="single"/>
              </w:rPr>
            </w:pPr>
          </w:p>
        </w:tc>
        <w:tc>
          <w:tcPr>
            <w:tcW w:w="1043" w:type="pct"/>
            <w:gridSpan w:val="3"/>
            <w:tcBorders>
              <w:top w:val="nil"/>
              <w:left w:val="nil"/>
              <w:bottom w:val="nil"/>
              <w:right w:val="nil"/>
            </w:tcBorders>
            <w:shd w:val="clear" w:color="auto" w:fill="auto"/>
          </w:tcPr>
          <w:p>
            <w:pPr>
              <w:spacing w:line="240" w:lineRule="auto"/>
              <w:jc w:val="right"/>
              <w:textAlignment w:val="top"/>
              <w:rPr>
                <w:rFonts w:ascii="宋体" w:hAnsi="宋体" w:cs="宋体"/>
                <w:color w:val="000000"/>
                <w:sz w:val="18"/>
                <w:szCs w:val="18"/>
              </w:rPr>
            </w:pPr>
            <w:r>
              <w:rPr>
                <w:rFonts w:hint="eastAsia" w:ascii="宋体" w:hAnsi="宋体" w:cs="宋体"/>
                <w:color w:val="000000"/>
                <w:kern w:val="0"/>
                <w:sz w:val="18"/>
                <w:szCs w:val="18"/>
              </w:rPr>
              <w:t>表—08</w:t>
            </w:r>
          </w:p>
        </w:tc>
      </w:tr>
    </w:tbl>
    <w:p>
      <w:pPr>
        <w:pStyle w:val="47"/>
        <w:ind w:firstLine="192"/>
      </w:pPr>
    </w:p>
    <w:tbl>
      <w:tblPr>
        <w:tblStyle w:val="49"/>
        <w:tblW w:w="10313" w:type="dxa"/>
        <w:jc w:val="center"/>
        <w:tblLayout w:type="autofit"/>
        <w:tblCellMar>
          <w:top w:w="0" w:type="dxa"/>
          <w:left w:w="108" w:type="dxa"/>
          <w:bottom w:w="0" w:type="dxa"/>
          <w:right w:w="108" w:type="dxa"/>
        </w:tblCellMar>
      </w:tblPr>
      <w:tblGrid>
        <w:gridCol w:w="659"/>
        <w:gridCol w:w="1416"/>
        <w:gridCol w:w="1692"/>
        <w:gridCol w:w="1378"/>
        <w:gridCol w:w="779"/>
        <w:gridCol w:w="75"/>
        <w:gridCol w:w="945"/>
        <w:gridCol w:w="791"/>
        <w:gridCol w:w="293"/>
        <w:gridCol w:w="362"/>
        <w:gridCol w:w="1923"/>
      </w:tblGrid>
      <w:tr>
        <w:tblPrEx>
          <w:tblCellMar>
            <w:top w:w="0" w:type="dxa"/>
            <w:left w:w="108" w:type="dxa"/>
            <w:bottom w:w="0" w:type="dxa"/>
            <w:right w:w="108" w:type="dxa"/>
          </w:tblCellMar>
        </w:tblPrEx>
        <w:trPr>
          <w:trHeight w:val="90" w:hRule="atLeast"/>
          <w:jc w:val="center"/>
        </w:trPr>
        <w:tc>
          <w:tcPr>
            <w:tcW w:w="10313" w:type="dxa"/>
            <w:gridSpan w:val="11"/>
            <w:tcBorders>
              <w:top w:val="nil"/>
              <w:left w:val="nil"/>
              <w:bottom w:val="nil"/>
              <w:right w:val="nil"/>
            </w:tcBorders>
            <w:shd w:val="clear" w:color="auto" w:fill="auto"/>
            <w:vAlign w:val="center"/>
          </w:tcPr>
          <w:p>
            <w:pPr>
              <w:spacing w:line="240" w:lineRule="auto"/>
              <w:jc w:val="center"/>
              <w:textAlignment w:val="center"/>
              <w:rPr>
                <w:rFonts w:ascii="宋体" w:hAnsi="宋体" w:cs="宋体"/>
                <w:b/>
                <w:bCs/>
                <w:color w:val="000000"/>
                <w:sz w:val="40"/>
                <w:szCs w:val="40"/>
              </w:rPr>
            </w:pPr>
            <w:r>
              <w:rPr>
                <w:rFonts w:hint="eastAsia" w:ascii="宋体" w:hAnsi="宋体" w:cs="宋体"/>
                <w:b/>
                <w:bCs/>
                <w:color w:val="000000"/>
                <w:kern w:val="0"/>
                <w:sz w:val="40"/>
                <w:szCs w:val="40"/>
              </w:rPr>
              <w:t>总价措施项目清单与计价表</w:t>
            </w:r>
          </w:p>
        </w:tc>
      </w:tr>
      <w:tr>
        <w:tblPrEx>
          <w:tblCellMar>
            <w:top w:w="0" w:type="dxa"/>
            <w:left w:w="108" w:type="dxa"/>
            <w:bottom w:w="0" w:type="dxa"/>
            <w:right w:w="108" w:type="dxa"/>
          </w:tblCellMar>
        </w:tblPrEx>
        <w:trPr>
          <w:trHeight w:val="90" w:hRule="atLeast"/>
          <w:jc w:val="center"/>
        </w:trPr>
        <w:tc>
          <w:tcPr>
            <w:tcW w:w="5999" w:type="dxa"/>
            <w:gridSpan w:val="6"/>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工程名称：武警茂名支队机动中队综合智慧训练场建设项目（一期）-安装</w:t>
            </w:r>
          </w:p>
        </w:tc>
        <w:tc>
          <w:tcPr>
            <w:tcW w:w="2029" w:type="dxa"/>
            <w:gridSpan w:val="3"/>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标段：</w:t>
            </w:r>
          </w:p>
        </w:tc>
        <w:tc>
          <w:tcPr>
            <w:tcW w:w="2285" w:type="dxa"/>
            <w:gridSpan w:val="2"/>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20"/>
                <w:szCs w:val="20"/>
              </w:rPr>
            </w:pPr>
            <w:r>
              <w:rPr>
                <w:rFonts w:hint="eastAsia" w:ascii="宋体" w:hAnsi="宋体" w:cs="宋体"/>
                <w:color w:val="000000"/>
                <w:kern w:val="0"/>
                <w:sz w:val="20"/>
                <w:szCs w:val="20"/>
              </w:rPr>
              <w:t>第 1 页  共 2 页</w:t>
            </w:r>
          </w:p>
        </w:tc>
      </w:tr>
      <w:tr>
        <w:tblPrEx>
          <w:tblCellMar>
            <w:top w:w="0" w:type="dxa"/>
            <w:left w:w="108" w:type="dxa"/>
            <w:bottom w:w="0" w:type="dxa"/>
            <w:right w:w="108" w:type="dxa"/>
          </w:tblCellMar>
        </w:tblPrEx>
        <w:trPr>
          <w:trHeight w:val="570" w:hRule="atLeast"/>
          <w:jc w:val="center"/>
        </w:trPr>
        <w:tc>
          <w:tcPr>
            <w:tcW w:w="659" w:type="dxa"/>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序号</w:t>
            </w:r>
          </w:p>
        </w:tc>
        <w:tc>
          <w:tcPr>
            <w:tcW w:w="1416"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项目编码</w:t>
            </w:r>
          </w:p>
        </w:tc>
        <w:tc>
          <w:tcPr>
            <w:tcW w:w="1692"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项目名称</w:t>
            </w:r>
          </w:p>
        </w:tc>
        <w:tc>
          <w:tcPr>
            <w:tcW w:w="1378"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计算基础</w:t>
            </w:r>
          </w:p>
        </w:tc>
        <w:tc>
          <w:tcPr>
            <w:tcW w:w="779"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费率</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1020"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金额</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(元)</w:t>
            </w:r>
          </w:p>
        </w:tc>
        <w:tc>
          <w:tcPr>
            <w:tcW w:w="791"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调整</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费率(%)</w:t>
            </w:r>
          </w:p>
        </w:tc>
        <w:tc>
          <w:tcPr>
            <w:tcW w:w="655"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调整后</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金额(元)</w:t>
            </w:r>
          </w:p>
        </w:tc>
        <w:tc>
          <w:tcPr>
            <w:tcW w:w="1923" w:type="dxa"/>
            <w:tcBorders>
              <w:top w:val="single" w:color="000000" w:sz="8"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备注</w:t>
            </w:r>
          </w:p>
        </w:tc>
      </w:tr>
      <w:tr>
        <w:tblPrEx>
          <w:tblCellMar>
            <w:top w:w="0" w:type="dxa"/>
            <w:left w:w="108" w:type="dxa"/>
            <w:bottom w:w="0" w:type="dxa"/>
            <w:right w:w="108" w:type="dxa"/>
          </w:tblCellMar>
        </w:tblPrEx>
        <w:trPr>
          <w:trHeight w:val="325"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LSSGCSF00001</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绿色施工安全防护措施费</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分部分项人工费+分部分项机具费</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35.77</w:t>
            </w: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21113.66</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以分部分项的人工费与施工机具费之和为计算基础，费率35.77%</w:t>
            </w:r>
          </w:p>
        </w:tc>
      </w:tr>
      <w:tr>
        <w:tblPrEx>
          <w:tblCellMar>
            <w:top w:w="0" w:type="dxa"/>
            <w:left w:w="108" w:type="dxa"/>
            <w:bottom w:w="0" w:type="dxa"/>
            <w:right w:w="108" w:type="dxa"/>
          </w:tblCellMar>
        </w:tblPrEx>
        <w:trPr>
          <w:trHeight w:val="57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031301010001</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安装与生产同时进行增加费用</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分部分项人工费</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0</w:t>
            </w: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按人工费的10%计算</w:t>
            </w:r>
          </w:p>
        </w:tc>
      </w:tr>
      <w:tr>
        <w:tblPrEx>
          <w:tblCellMar>
            <w:top w:w="0" w:type="dxa"/>
            <w:left w:w="108" w:type="dxa"/>
            <w:bottom w:w="0" w:type="dxa"/>
            <w:right w:w="108" w:type="dxa"/>
          </w:tblCellMar>
        </w:tblPrEx>
        <w:trPr>
          <w:trHeight w:val="57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031301011001</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在有害身体健康环境中施工增加费</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分部分项人工费</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0</w:t>
            </w: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按人工费的10%计算</w:t>
            </w:r>
          </w:p>
        </w:tc>
      </w:tr>
      <w:tr>
        <w:tblPrEx>
          <w:tblCellMar>
            <w:top w:w="0" w:type="dxa"/>
            <w:left w:w="108" w:type="dxa"/>
            <w:bottom w:w="0" w:type="dxa"/>
            <w:right w:w="108" w:type="dxa"/>
          </w:tblCellMar>
        </w:tblPrEx>
        <w:trPr>
          <w:trHeight w:val="108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TSSGBWZJF001</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在地下（暗）室、设备及大口径管道内等特殊施工部位进行施工增加费</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30</w:t>
            </w: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按该部分人工费的30%计算</w:t>
            </w:r>
          </w:p>
        </w:tc>
      </w:tr>
      <w:tr>
        <w:tblPrEx>
          <w:tblCellMar>
            <w:top w:w="0" w:type="dxa"/>
            <w:left w:w="108" w:type="dxa"/>
            <w:bottom w:w="0" w:type="dxa"/>
            <w:right w:w="108" w:type="dxa"/>
          </w:tblCellMar>
        </w:tblPrEx>
        <w:trPr>
          <w:trHeight w:val="9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粤031302008001</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赶工措施费</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分部分项人工费+分部分项机具费</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0</w:t>
            </w: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赶工措施费=（1-δ）*分部分项（人工费+施工机具费）*0.344 （0.8≤δ＜1   式中：δ=合同工期/定额工期）</w:t>
            </w:r>
          </w:p>
        </w:tc>
      </w:tr>
      <w:tr>
        <w:tblPrEx>
          <w:tblCellMar>
            <w:top w:w="0" w:type="dxa"/>
            <w:left w:w="108" w:type="dxa"/>
            <w:bottom w:w="0" w:type="dxa"/>
            <w:right w:w="108" w:type="dxa"/>
          </w:tblCellMar>
        </w:tblPrEx>
        <w:trPr>
          <w:trHeight w:val="9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031302002001</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夜间施工增加费</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20</w:t>
            </w: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按其夜间施工项目人工费的20%计算</w:t>
            </w:r>
          </w:p>
        </w:tc>
      </w:tr>
      <w:tr>
        <w:tblPrEx>
          <w:tblCellMar>
            <w:top w:w="0" w:type="dxa"/>
            <w:left w:w="108" w:type="dxa"/>
            <w:bottom w:w="0" w:type="dxa"/>
            <w:right w:w="108" w:type="dxa"/>
          </w:tblCellMar>
        </w:tblPrEx>
        <w:trPr>
          <w:trHeight w:val="9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JTGRSGZJF001</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交通干扰工程施工增加费</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10</w:t>
            </w: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按在市政道路上施工项目人工费的10%计算</w:t>
            </w:r>
          </w:p>
        </w:tc>
      </w:tr>
      <w:tr>
        <w:tblPrEx>
          <w:tblCellMar>
            <w:top w:w="0" w:type="dxa"/>
            <w:left w:w="108" w:type="dxa"/>
            <w:bottom w:w="0" w:type="dxa"/>
            <w:right w:w="108" w:type="dxa"/>
          </w:tblCellMar>
        </w:tblPrEx>
        <w:trPr>
          <w:trHeight w:val="326"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8</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粤031302009001</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文明工地增加费</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分部分项人工费+分部分项机具费</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0</w:t>
            </w: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以分部分项的人工费与施工机具费之和为计算基础；市级文明工地1.00%；省级文明工地2.00%</w:t>
            </w:r>
          </w:p>
        </w:tc>
      </w:tr>
      <w:tr>
        <w:tblPrEx>
          <w:tblCellMar>
            <w:top w:w="0" w:type="dxa"/>
            <w:left w:w="108" w:type="dxa"/>
            <w:bottom w:w="0" w:type="dxa"/>
            <w:right w:w="108" w:type="dxa"/>
          </w:tblCellMar>
        </w:tblPrEx>
        <w:trPr>
          <w:trHeight w:val="90" w:hRule="atLeast"/>
          <w:jc w:val="center"/>
        </w:trPr>
        <w:tc>
          <w:tcPr>
            <w:tcW w:w="659" w:type="dxa"/>
            <w:tcBorders>
              <w:top w:val="single" w:color="000000" w:sz="4" w:space="0"/>
              <w:left w:val="single" w:color="000000" w:sz="8" w:space="0"/>
              <w:bottom w:val="single" w:color="000000" w:sz="8"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9</w:t>
            </w:r>
          </w:p>
        </w:tc>
        <w:tc>
          <w:tcPr>
            <w:tcW w:w="1416"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DXGXJCJXF001</w:t>
            </w:r>
          </w:p>
        </w:tc>
        <w:tc>
          <w:tcPr>
            <w:tcW w:w="1692"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地下管线交叉降效费</w:t>
            </w:r>
          </w:p>
        </w:tc>
        <w:tc>
          <w:tcPr>
            <w:tcW w:w="1378"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8"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按实际发生或经批准的施工方案计</w:t>
            </w:r>
          </w:p>
        </w:tc>
      </w:tr>
      <w:tr>
        <w:tblPrEx>
          <w:tblCellMar>
            <w:top w:w="0" w:type="dxa"/>
            <w:left w:w="108" w:type="dxa"/>
            <w:bottom w:w="0" w:type="dxa"/>
            <w:right w:w="108" w:type="dxa"/>
          </w:tblCellMar>
        </w:tblPrEx>
        <w:trPr>
          <w:trHeight w:val="90" w:hRule="atLeast"/>
          <w:jc w:val="center"/>
        </w:trPr>
        <w:tc>
          <w:tcPr>
            <w:tcW w:w="5999" w:type="dxa"/>
            <w:gridSpan w:val="6"/>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18"/>
                <w:szCs w:val="18"/>
              </w:rPr>
            </w:pPr>
            <w:r>
              <w:rPr>
                <w:rFonts w:hint="eastAsia" w:ascii="宋体" w:hAnsi="宋体" w:cs="宋体"/>
                <w:color w:val="000000"/>
                <w:kern w:val="0"/>
                <w:sz w:val="18"/>
                <w:szCs w:val="18"/>
              </w:rPr>
              <w:t>编制人（造价人员）：</w:t>
            </w:r>
          </w:p>
        </w:tc>
        <w:tc>
          <w:tcPr>
            <w:tcW w:w="4314" w:type="dxa"/>
            <w:gridSpan w:val="5"/>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18"/>
                <w:szCs w:val="18"/>
              </w:rPr>
            </w:pPr>
            <w:r>
              <w:rPr>
                <w:rFonts w:hint="eastAsia" w:ascii="宋体" w:hAnsi="宋体" w:cs="宋体"/>
                <w:color w:val="000000"/>
                <w:kern w:val="0"/>
                <w:sz w:val="18"/>
                <w:szCs w:val="18"/>
              </w:rPr>
              <w:t>复核人（造价工程师）：</w:t>
            </w:r>
          </w:p>
        </w:tc>
      </w:tr>
      <w:tr>
        <w:tblPrEx>
          <w:tblCellMar>
            <w:top w:w="0" w:type="dxa"/>
            <w:left w:w="108" w:type="dxa"/>
            <w:bottom w:w="0" w:type="dxa"/>
            <w:right w:w="108" w:type="dxa"/>
          </w:tblCellMar>
        </w:tblPrEx>
        <w:trPr>
          <w:trHeight w:val="90" w:hRule="atLeast"/>
          <w:jc w:val="center"/>
        </w:trPr>
        <w:tc>
          <w:tcPr>
            <w:tcW w:w="5999" w:type="dxa"/>
            <w:gridSpan w:val="6"/>
            <w:tcBorders>
              <w:top w:val="nil"/>
              <w:left w:val="nil"/>
              <w:bottom w:val="nil"/>
              <w:right w:val="nil"/>
            </w:tcBorders>
            <w:shd w:val="clear" w:color="auto" w:fill="auto"/>
            <w:vAlign w:val="bottom"/>
          </w:tcPr>
          <w:p>
            <w:pPr>
              <w:spacing w:line="240" w:lineRule="auto"/>
              <w:jc w:val="left"/>
              <w:rPr>
                <w:rFonts w:ascii="宋体" w:hAnsi="宋体" w:cs="宋体"/>
                <w:color w:val="000000"/>
                <w:sz w:val="18"/>
                <w:szCs w:val="18"/>
              </w:rPr>
            </w:pPr>
          </w:p>
        </w:tc>
        <w:tc>
          <w:tcPr>
            <w:tcW w:w="2029" w:type="dxa"/>
            <w:gridSpan w:val="3"/>
            <w:tcBorders>
              <w:top w:val="nil"/>
              <w:left w:val="nil"/>
              <w:bottom w:val="nil"/>
              <w:right w:val="nil"/>
            </w:tcBorders>
            <w:shd w:val="clear" w:color="auto" w:fill="auto"/>
            <w:vAlign w:val="bottom"/>
          </w:tcPr>
          <w:p>
            <w:pPr>
              <w:spacing w:line="240" w:lineRule="auto"/>
              <w:jc w:val="left"/>
              <w:rPr>
                <w:rFonts w:ascii="宋体" w:hAnsi="宋体" w:cs="宋体"/>
                <w:color w:val="000000"/>
                <w:sz w:val="18"/>
                <w:szCs w:val="18"/>
              </w:rPr>
            </w:pPr>
          </w:p>
        </w:tc>
        <w:tc>
          <w:tcPr>
            <w:tcW w:w="2285" w:type="dxa"/>
            <w:gridSpan w:val="2"/>
            <w:tcBorders>
              <w:top w:val="nil"/>
              <w:left w:val="nil"/>
              <w:bottom w:val="nil"/>
              <w:right w:val="nil"/>
            </w:tcBorders>
            <w:shd w:val="clear" w:color="auto" w:fill="auto"/>
            <w:vAlign w:val="center"/>
          </w:tcPr>
          <w:p>
            <w:pPr>
              <w:spacing w:line="240" w:lineRule="auto"/>
              <w:jc w:val="right"/>
              <w:textAlignment w:val="center"/>
              <w:rPr>
                <w:rFonts w:ascii="宋体" w:hAnsi="宋体" w:cs="宋体"/>
                <w:color w:val="000000"/>
                <w:sz w:val="18"/>
                <w:szCs w:val="18"/>
              </w:rPr>
            </w:pPr>
            <w:r>
              <w:rPr>
                <w:rFonts w:hint="eastAsia" w:ascii="宋体" w:hAnsi="宋体" w:cs="宋体"/>
                <w:color w:val="000000"/>
                <w:kern w:val="0"/>
                <w:sz w:val="18"/>
                <w:szCs w:val="18"/>
              </w:rPr>
              <w:t>表-11</w:t>
            </w:r>
          </w:p>
        </w:tc>
      </w:tr>
      <w:tr>
        <w:tblPrEx>
          <w:tblCellMar>
            <w:top w:w="0" w:type="dxa"/>
            <w:left w:w="108" w:type="dxa"/>
            <w:bottom w:w="0" w:type="dxa"/>
            <w:right w:w="108" w:type="dxa"/>
          </w:tblCellMar>
        </w:tblPrEx>
        <w:trPr>
          <w:trHeight w:val="90" w:hRule="atLeast"/>
          <w:jc w:val="center"/>
        </w:trPr>
        <w:tc>
          <w:tcPr>
            <w:tcW w:w="10313" w:type="dxa"/>
            <w:gridSpan w:val="11"/>
            <w:tcBorders>
              <w:top w:val="nil"/>
              <w:left w:val="nil"/>
              <w:bottom w:val="nil"/>
              <w:right w:val="nil"/>
            </w:tcBorders>
            <w:shd w:val="clear" w:color="auto" w:fill="auto"/>
            <w:vAlign w:val="center"/>
          </w:tcPr>
          <w:p>
            <w:pPr>
              <w:spacing w:line="240" w:lineRule="auto"/>
              <w:jc w:val="center"/>
              <w:textAlignment w:val="center"/>
              <w:rPr>
                <w:rFonts w:ascii="宋体" w:hAnsi="宋体" w:cs="宋体"/>
                <w:b/>
                <w:bCs/>
                <w:color w:val="000000"/>
                <w:sz w:val="40"/>
                <w:szCs w:val="40"/>
              </w:rPr>
            </w:pPr>
            <w:r>
              <w:rPr>
                <w:rFonts w:hint="eastAsia" w:ascii="宋体" w:hAnsi="宋体" w:cs="宋体"/>
                <w:b/>
                <w:bCs/>
                <w:color w:val="000000"/>
                <w:kern w:val="0"/>
                <w:sz w:val="40"/>
                <w:szCs w:val="40"/>
              </w:rPr>
              <w:t>总价措施项目清单与计价表</w:t>
            </w:r>
          </w:p>
        </w:tc>
      </w:tr>
      <w:tr>
        <w:tblPrEx>
          <w:tblCellMar>
            <w:top w:w="0" w:type="dxa"/>
            <w:left w:w="108" w:type="dxa"/>
            <w:bottom w:w="0" w:type="dxa"/>
            <w:right w:w="108" w:type="dxa"/>
          </w:tblCellMar>
        </w:tblPrEx>
        <w:trPr>
          <w:trHeight w:val="90" w:hRule="atLeast"/>
          <w:jc w:val="center"/>
        </w:trPr>
        <w:tc>
          <w:tcPr>
            <w:tcW w:w="5999" w:type="dxa"/>
            <w:gridSpan w:val="6"/>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工程名称：武警茂名支队机动中队综合智慧训练场建设项目（一期）-安装</w:t>
            </w:r>
          </w:p>
        </w:tc>
        <w:tc>
          <w:tcPr>
            <w:tcW w:w="2029" w:type="dxa"/>
            <w:gridSpan w:val="3"/>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标段：</w:t>
            </w:r>
          </w:p>
        </w:tc>
        <w:tc>
          <w:tcPr>
            <w:tcW w:w="2285" w:type="dxa"/>
            <w:gridSpan w:val="2"/>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20"/>
                <w:szCs w:val="20"/>
              </w:rPr>
            </w:pPr>
            <w:r>
              <w:rPr>
                <w:rFonts w:hint="eastAsia" w:ascii="宋体" w:hAnsi="宋体" w:cs="宋体"/>
                <w:color w:val="000000"/>
                <w:kern w:val="0"/>
                <w:sz w:val="20"/>
                <w:szCs w:val="20"/>
              </w:rPr>
              <w:t>第 2 页  共 2 页</w:t>
            </w:r>
          </w:p>
        </w:tc>
      </w:tr>
      <w:tr>
        <w:tblPrEx>
          <w:tblCellMar>
            <w:top w:w="0" w:type="dxa"/>
            <w:left w:w="108" w:type="dxa"/>
            <w:bottom w:w="0" w:type="dxa"/>
            <w:right w:w="108" w:type="dxa"/>
          </w:tblCellMar>
        </w:tblPrEx>
        <w:trPr>
          <w:trHeight w:val="570" w:hRule="atLeast"/>
          <w:jc w:val="center"/>
        </w:trPr>
        <w:tc>
          <w:tcPr>
            <w:tcW w:w="659" w:type="dxa"/>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序号</w:t>
            </w:r>
          </w:p>
        </w:tc>
        <w:tc>
          <w:tcPr>
            <w:tcW w:w="1416"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项目编码</w:t>
            </w:r>
          </w:p>
        </w:tc>
        <w:tc>
          <w:tcPr>
            <w:tcW w:w="1692"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项目名称</w:t>
            </w:r>
          </w:p>
        </w:tc>
        <w:tc>
          <w:tcPr>
            <w:tcW w:w="1378"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计算基础</w:t>
            </w:r>
          </w:p>
        </w:tc>
        <w:tc>
          <w:tcPr>
            <w:tcW w:w="779"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费率</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1020"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金额</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(元)</w:t>
            </w:r>
          </w:p>
        </w:tc>
        <w:tc>
          <w:tcPr>
            <w:tcW w:w="791"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调整</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费率(%)</w:t>
            </w:r>
          </w:p>
        </w:tc>
        <w:tc>
          <w:tcPr>
            <w:tcW w:w="655"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调整后</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金额(元)</w:t>
            </w:r>
          </w:p>
        </w:tc>
        <w:tc>
          <w:tcPr>
            <w:tcW w:w="1923" w:type="dxa"/>
            <w:tcBorders>
              <w:top w:val="single" w:color="000000" w:sz="8"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备注</w:t>
            </w:r>
          </w:p>
        </w:tc>
      </w:tr>
      <w:tr>
        <w:tblPrEx>
          <w:tblCellMar>
            <w:top w:w="0" w:type="dxa"/>
            <w:left w:w="108" w:type="dxa"/>
            <w:bottom w:w="0" w:type="dxa"/>
            <w:right w:w="108" w:type="dxa"/>
          </w:tblCellMar>
        </w:tblPrEx>
        <w:trPr>
          <w:trHeight w:val="9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算</w:t>
            </w:r>
          </w:p>
        </w:tc>
      </w:tr>
      <w:tr>
        <w:tblPrEx>
          <w:tblCellMar>
            <w:top w:w="0" w:type="dxa"/>
            <w:left w:w="108" w:type="dxa"/>
            <w:bottom w:w="0" w:type="dxa"/>
            <w:right w:w="108" w:type="dxa"/>
          </w:tblCellMar>
        </w:tblPrEx>
        <w:trPr>
          <w:trHeight w:val="9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QTFY00000001</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其他费用</w:t>
            </w: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按实际发生或经批准的施工组织设计方案计算</w:t>
            </w: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59"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924" w:type="dxa"/>
            <w:gridSpan w:val="5"/>
            <w:tcBorders>
              <w:top w:val="single" w:color="000000" w:sz="4" w:space="0"/>
              <w:left w:val="single" w:color="000000" w:sz="8" w:space="0"/>
              <w:bottom w:val="single" w:color="000000" w:sz="8"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合    计</w:t>
            </w:r>
          </w:p>
        </w:tc>
        <w:tc>
          <w:tcPr>
            <w:tcW w:w="1020"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21113.66</w:t>
            </w:r>
          </w:p>
        </w:tc>
        <w:tc>
          <w:tcPr>
            <w:tcW w:w="791"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655"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923" w:type="dxa"/>
            <w:tcBorders>
              <w:top w:val="single" w:color="000000" w:sz="4" w:space="0"/>
              <w:left w:val="single" w:color="000000" w:sz="4" w:space="0"/>
              <w:bottom w:val="single" w:color="000000" w:sz="8"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999" w:type="dxa"/>
            <w:gridSpan w:val="6"/>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18"/>
                <w:szCs w:val="18"/>
              </w:rPr>
            </w:pPr>
            <w:r>
              <w:rPr>
                <w:rFonts w:hint="eastAsia" w:ascii="宋体" w:hAnsi="宋体" w:cs="宋体"/>
                <w:color w:val="000000"/>
                <w:kern w:val="0"/>
                <w:sz w:val="18"/>
                <w:szCs w:val="18"/>
              </w:rPr>
              <w:t>编制人（造价人员）：</w:t>
            </w:r>
          </w:p>
        </w:tc>
        <w:tc>
          <w:tcPr>
            <w:tcW w:w="4314" w:type="dxa"/>
            <w:gridSpan w:val="5"/>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18"/>
                <w:szCs w:val="18"/>
              </w:rPr>
            </w:pPr>
            <w:r>
              <w:rPr>
                <w:rFonts w:hint="eastAsia" w:ascii="宋体" w:hAnsi="宋体" w:cs="宋体"/>
                <w:color w:val="000000"/>
                <w:kern w:val="0"/>
                <w:sz w:val="18"/>
                <w:szCs w:val="18"/>
              </w:rPr>
              <w:t>复核人（造价工程师）：</w:t>
            </w:r>
          </w:p>
        </w:tc>
      </w:tr>
      <w:tr>
        <w:tblPrEx>
          <w:tblCellMar>
            <w:top w:w="0" w:type="dxa"/>
            <w:left w:w="108" w:type="dxa"/>
            <w:bottom w:w="0" w:type="dxa"/>
            <w:right w:w="108" w:type="dxa"/>
          </w:tblCellMar>
        </w:tblPrEx>
        <w:trPr>
          <w:trHeight w:val="360" w:hRule="atLeast"/>
          <w:jc w:val="center"/>
        </w:trPr>
        <w:tc>
          <w:tcPr>
            <w:tcW w:w="5999" w:type="dxa"/>
            <w:gridSpan w:val="6"/>
            <w:tcBorders>
              <w:top w:val="nil"/>
              <w:left w:val="nil"/>
              <w:bottom w:val="nil"/>
              <w:right w:val="nil"/>
            </w:tcBorders>
            <w:shd w:val="clear" w:color="auto" w:fill="auto"/>
            <w:vAlign w:val="bottom"/>
          </w:tcPr>
          <w:p>
            <w:pPr>
              <w:spacing w:line="240" w:lineRule="auto"/>
              <w:jc w:val="left"/>
              <w:rPr>
                <w:rFonts w:ascii="宋体" w:hAnsi="宋体" w:cs="宋体"/>
                <w:color w:val="000000"/>
                <w:sz w:val="18"/>
                <w:szCs w:val="18"/>
              </w:rPr>
            </w:pPr>
          </w:p>
        </w:tc>
        <w:tc>
          <w:tcPr>
            <w:tcW w:w="2029" w:type="dxa"/>
            <w:gridSpan w:val="3"/>
            <w:tcBorders>
              <w:top w:val="nil"/>
              <w:left w:val="nil"/>
              <w:bottom w:val="nil"/>
              <w:right w:val="nil"/>
            </w:tcBorders>
            <w:shd w:val="clear" w:color="auto" w:fill="auto"/>
            <w:vAlign w:val="bottom"/>
          </w:tcPr>
          <w:p>
            <w:pPr>
              <w:spacing w:line="240" w:lineRule="auto"/>
              <w:jc w:val="left"/>
              <w:rPr>
                <w:rFonts w:ascii="宋体" w:hAnsi="宋体" w:cs="宋体"/>
                <w:color w:val="000000"/>
                <w:sz w:val="18"/>
                <w:szCs w:val="18"/>
              </w:rPr>
            </w:pPr>
          </w:p>
        </w:tc>
        <w:tc>
          <w:tcPr>
            <w:tcW w:w="2285" w:type="dxa"/>
            <w:gridSpan w:val="2"/>
            <w:tcBorders>
              <w:top w:val="nil"/>
              <w:left w:val="nil"/>
              <w:bottom w:val="nil"/>
              <w:right w:val="nil"/>
            </w:tcBorders>
            <w:shd w:val="clear" w:color="auto" w:fill="auto"/>
            <w:vAlign w:val="center"/>
          </w:tcPr>
          <w:p>
            <w:pPr>
              <w:spacing w:line="240" w:lineRule="auto"/>
              <w:jc w:val="right"/>
              <w:textAlignment w:val="center"/>
              <w:rPr>
                <w:rFonts w:ascii="宋体" w:hAnsi="宋体" w:cs="宋体"/>
                <w:color w:val="000000"/>
                <w:sz w:val="18"/>
                <w:szCs w:val="18"/>
              </w:rPr>
            </w:pPr>
            <w:r>
              <w:rPr>
                <w:rFonts w:hint="eastAsia" w:ascii="宋体" w:hAnsi="宋体" w:cs="宋体"/>
                <w:color w:val="000000"/>
                <w:kern w:val="0"/>
                <w:sz w:val="18"/>
                <w:szCs w:val="18"/>
              </w:rPr>
              <w:t>表-11</w:t>
            </w:r>
          </w:p>
        </w:tc>
      </w:tr>
    </w:tbl>
    <w:p>
      <w:pPr>
        <w:pStyle w:val="47"/>
        <w:ind w:firstLine="192"/>
      </w:pPr>
    </w:p>
    <w:tbl>
      <w:tblPr>
        <w:tblStyle w:val="49"/>
        <w:tblW w:w="10052" w:type="dxa"/>
        <w:jc w:val="center"/>
        <w:tblLayout w:type="autofit"/>
        <w:tblCellMar>
          <w:top w:w="0" w:type="dxa"/>
          <w:left w:w="108" w:type="dxa"/>
          <w:bottom w:w="0" w:type="dxa"/>
          <w:right w:w="108" w:type="dxa"/>
        </w:tblCellMar>
      </w:tblPr>
      <w:tblGrid>
        <w:gridCol w:w="1065"/>
        <w:gridCol w:w="3465"/>
        <w:gridCol w:w="1470"/>
        <w:gridCol w:w="220"/>
        <w:gridCol w:w="1595"/>
        <w:gridCol w:w="219"/>
        <w:gridCol w:w="2018"/>
      </w:tblGrid>
      <w:tr>
        <w:tblPrEx>
          <w:tblCellMar>
            <w:top w:w="0" w:type="dxa"/>
            <w:left w:w="108" w:type="dxa"/>
            <w:bottom w:w="0" w:type="dxa"/>
            <w:right w:w="108" w:type="dxa"/>
          </w:tblCellMar>
        </w:tblPrEx>
        <w:trPr>
          <w:trHeight w:val="90" w:hRule="atLeast"/>
          <w:jc w:val="center"/>
        </w:trPr>
        <w:tc>
          <w:tcPr>
            <w:tcW w:w="10052" w:type="dxa"/>
            <w:gridSpan w:val="7"/>
            <w:tcBorders>
              <w:top w:val="nil"/>
              <w:left w:val="nil"/>
              <w:bottom w:val="nil"/>
              <w:right w:val="nil"/>
            </w:tcBorders>
            <w:shd w:val="clear" w:color="auto" w:fill="auto"/>
            <w:vAlign w:val="center"/>
          </w:tcPr>
          <w:p>
            <w:pPr>
              <w:spacing w:line="240" w:lineRule="auto"/>
              <w:jc w:val="center"/>
              <w:textAlignment w:val="center"/>
              <w:rPr>
                <w:rFonts w:ascii="宋体" w:hAnsi="宋体" w:cs="宋体"/>
                <w:b/>
                <w:bCs/>
                <w:color w:val="000000"/>
                <w:sz w:val="40"/>
                <w:szCs w:val="40"/>
              </w:rPr>
            </w:pPr>
            <w:r>
              <w:rPr>
                <w:rFonts w:hint="eastAsia" w:ascii="宋体" w:hAnsi="宋体" w:cs="宋体"/>
                <w:b/>
                <w:bCs/>
                <w:color w:val="000000"/>
                <w:kern w:val="0"/>
                <w:sz w:val="40"/>
                <w:szCs w:val="40"/>
              </w:rPr>
              <w:t>其他项目清单与计价汇总表</w:t>
            </w:r>
          </w:p>
        </w:tc>
      </w:tr>
      <w:tr>
        <w:tblPrEx>
          <w:tblCellMar>
            <w:top w:w="0" w:type="dxa"/>
            <w:left w:w="108" w:type="dxa"/>
            <w:bottom w:w="0" w:type="dxa"/>
            <w:right w:w="108" w:type="dxa"/>
          </w:tblCellMar>
        </w:tblPrEx>
        <w:trPr>
          <w:trHeight w:val="90" w:hRule="atLeast"/>
          <w:jc w:val="center"/>
        </w:trPr>
        <w:tc>
          <w:tcPr>
            <w:tcW w:w="6000" w:type="dxa"/>
            <w:gridSpan w:val="3"/>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工程名称：武警茂名支队机动中队综合智慧训练场建设项目（一期）-安装</w:t>
            </w:r>
          </w:p>
        </w:tc>
        <w:tc>
          <w:tcPr>
            <w:tcW w:w="1815" w:type="dxa"/>
            <w:gridSpan w:val="2"/>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标段：</w:t>
            </w:r>
          </w:p>
        </w:tc>
        <w:tc>
          <w:tcPr>
            <w:tcW w:w="2237" w:type="dxa"/>
            <w:gridSpan w:val="2"/>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20"/>
                <w:szCs w:val="20"/>
              </w:rPr>
            </w:pPr>
            <w:r>
              <w:rPr>
                <w:rFonts w:hint="eastAsia" w:ascii="宋体" w:hAnsi="宋体" w:cs="宋体"/>
                <w:color w:val="000000"/>
                <w:kern w:val="0"/>
                <w:sz w:val="20"/>
                <w:szCs w:val="20"/>
              </w:rPr>
              <w:t>第 1 页  共 1 页</w:t>
            </w:r>
          </w:p>
        </w:tc>
      </w:tr>
      <w:tr>
        <w:tblPrEx>
          <w:tblCellMar>
            <w:top w:w="0" w:type="dxa"/>
            <w:left w:w="108" w:type="dxa"/>
            <w:bottom w:w="0" w:type="dxa"/>
            <w:right w:w="108" w:type="dxa"/>
          </w:tblCellMar>
        </w:tblPrEx>
        <w:trPr>
          <w:trHeight w:val="375" w:hRule="atLeast"/>
          <w:jc w:val="center"/>
        </w:trPr>
        <w:tc>
          <w:tcPr>
            <w:tcW w:w="1065" w:type="dxa"/>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序号</w:t>
            </w:r>
          </w:p>
        </w:tc>
        <w:tc>
          <w:tcPr>
            <w:tcW w:w="3465"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项目名称</w:t>
            </w:r>
          </w:p>
        </w:tc>
        <w:tc>
          <w:tcPr>
            <w:tcW w:w="1690"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金额（元）</w:t>
            </w:r>
          </w:p>
        </w:tc>
        <w:tc>
          <w:tcPr>
            <w:tcW w:w="1814"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结算金额（元）</w:t>
            </w:r>
          </w:p>
        </w:tc>
        <w:tc>
          <w:tcPr>
            <w:tcW w:w="2018" w:type="dxa"/>
            <w:tcBorders>
              <w:top w:val="single" w:color="000000" w:sz="8"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备注</w:t>
            </w: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暂列金额</w:t>
            </w: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明细详见表-12-1</w:t>
            </w: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暂估价</w:t>
            </w: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2.1</w:t>
            </w: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材料暂估价</w:t>
            </w: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明细详见表-12-2</w:t>
            </w: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2.2</w:t>
            </w: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专业工程暂估价</w:t>
            </w: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明细详见表-12-3</w:t>
            </w: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计日工</w:t>
            </w: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明细详见表-12-4</w:t>
            </w: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总承包服务费</w:t>
            </w: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明细详见表-12-5</w:t>
            </w: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预算包干费</w:t>
            </w: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工程优质费</w:t>
            </w: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概算幅度差</w:t>
            </w: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8</w:t>
            </w: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现场签证费用</w:t>
            </w: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9</w:t>
            </w: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索赔费用</w:t>
            </w: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10</w:t>
            </w: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其他费用</w:t>
            </w: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34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2018"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1065" w:type="dxa"/>
            <w:tcBorders>
              <w:top w:val="single" w:color="000000" w:sz="4" w:space="0"/>
              <w:left w:val="single" w:color="000000" w:sz="8" w:space="0"/>
              <w:bottom w:val="single" w:color="000000" w:sz="8" w:space="0"/>
              <w:right w:val="single" w:color="000000" w:sz="4" w:space="0"/>
            </w:tcBorders>
            <w:shd w:val="clear" w:color="auto" w:fill="auto"/>
            <w:vAlign w:val="center"/>
          </w:tcPr>
          <w:p>
            <w:pPr>
              <w:spacing w:line="240" w:lineRule="auto"/>
              <w:jc w:val="left"/>
              <w:rPr>
                <w:rFonts w:ascii="宋体" w:hAnsi="宋体" w:cs="宋体"/>
                <w:color w:val="000000"/>
                <w:sz w:val="18"/>
                <w:szCs w:val="18"/>
              </w:rPr>
            </w:pPr>
          </w:p>
        </w:tc>
        <w:tc>
          <w:tcPr>
            <w:tcW w:w="3465"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合  计</w:t>
            </w:r>
          </w:p>
        </w:tc>
        <w:tc>
          <w:tcPr>
            <w:tcW w:w="1690"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814"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left"/>
              <w:rPr>
                <w:rFonts w:ascii="宋体" w:hAnsi="宋体" w:cs="宋体"/>
                <w:color w:val="000000"/>
                <w:sz w:val="18"/>
                <w:szCs w:val="18"/>
              </w:rPr>
            </w:pPr>
          </w:p>
        </w:tc>
        <w:tc>
          <w:tcPr>
            <w:tcW w:w="2018" w:type="dxa"/>
            <w:tcBorders>
              <w:top w:val="single" w:color="000000" w:sz="4" w:space="0"/>
              <w:left w:val="single" w:color="000000" w:sz="4" w:space="0"/>
              <w:bottom w:val="single" w:color="000000" w:sz="8"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18"/>
                <w:szCs w:val="18"/>
              </w:rPr>
            </w:pPr>
            <w:r>
              <w:rPr>
                <w:rFonts w:hint="eastAsia" w:ascii="宋体" w:hAnsi="宋体" w:cs="宋体"/>
                <w:color w:val="000000"/>
                <w:kern w:val="0"/>
                <w:sz w:val="18"/>
                <w:szCs w:val="18"/>
              </w:rPr>
              <w:t>—</w:t>
            </w:r>
          </w:p>
        </w:tc>
      </w:tr>
      <w:tr>
        <w:tblPrEx>
          <w:tblCellMar>
            <w:top w:w="0" w:type="dxa"/>
            <w:left w:w="108" w:type="dxa"/>
            <w:bottom w:w="0" w:type="dxa"/>
            <w:right w:w="108" w:type="dxa"/>
          </w:tblCellMar>
        </w:tblPrEx>
        <w:trPr>
          <w:trHeight w:val="90" w:hRule="atLeast"/>
          <w:jc w:val="center"/>
        </w:trPr>
        <w:tc>
          <w:tcPr>
            <w:tcW w:w="10052" w:type="dxa"/>
            <w:gridSpan w:val="7"/>
            <w:tcBorders>
              <w:top w:val="nil"/>
              <w:left w:val="nil"/>
              <w:bottom w:val="nil"/>
              <w:right w:val="nil"/>
            </w:tcBorders>
            <w:shd w:val="clear" w:color="auto" w:fill="auto"/>
            <w:vAlign w:val="center"/>
          </w:tcPr>
          <w:p>
            <w:pPr>
              <w:spacing w:line="240" w:lineRule="auto"/>
              <w:jc w:val="left"/>
              <w:textAlignment w:val="center"/>
              <w:rPr>
                <w:rFonts w:ascii="宋体" w:hAnsi="宋体" w:cs="宋体"/>
                <w:color w:val="000000"/>
                <w:sz w:val="18"/>
                <w:szCs w:val="18"/>
              </w:rPr>
            </w:pPr>
            <w:r>
              <w:rPr>
                <w:rFonts w:hint="eastAsia" w:ascii="宋体" w:hAnsi="宋体" w:cs="宋体"/>
                <w:color w:val="000000"/>
                <w:kern w:val="0"/>
                <w:sz w:val="18"/>
                <w:szCs w:val="18"/>
              </w:rPr>
              <w:t>注：材料（工程设备）暂估单价进入清单项目综合单价，此处不汇总。</w:t>
            </w:r>
          </w:p>
        </w:tc>
      </w:tr>
      <w:tr>
        <w:tblPrEx>
          <w:tblCellMar>
            <w:top w:w="0" w:type="dxa"/>
            <w:left w:w="108" w:type="dxa"/>
            <w:bottom w:w="0" w:type="dxa"/>
            <w:right w:w="108" w:type="dxa"/>
          </w:tblCellMar>
        </w:tblPrEx>
        <w:trPr>
          <w:trHeight w:val="90" w:hRule="atLeast"/>
          <w:jc w:val="center"/>
        </w:trPr>
        <w:tc>
          <w:tcPr>
            <w:tcW w:w="6000" w:type="dxa"/>
            <w:gridSpan w:val="3"/>
            <w:tcBorders>
              <w:top w:val="nil"/>
              <w:left w:val="nil"/>
              <w:bottom w:val="nil"/>
              <w:right w:val="nil"/>
            </w:tcBorders>
            <w:shd w:val="clear" w:color="auto" w:fill="auto"/>
            <w:vAlign w:val="bottom"/>
          </w:tcPr>
          <w:p>
            <w:pPr>
              <w:spacing w:line="240" w:lineRule="auto"/>
              <w:jc w:val="left"/>
              <w:rPr>
                <w:rFonts w:ascii="宋体" w:hAnsi="宋体" w:cs="宋体"/>
                <w:color w:val="000000"/>
                <w:sz w:val="18"/>
                <w:szCs w:val="18"/>
              </w:rPr>
            </w:pPr>
          </w:p>
        </w:tc>
        <w:tc>
          <w:tcPr>
            <w:tcW w:w="1815" w:type="dxa"/>
            <w:gridSpan w:val="2"/>
            <w:tcBorders>
              <w:top w:val="nil"/>
              <w:left w:val="nil"/>
              <w:bottom w:val="nil"/>
              <w:right w:val="nil"/>
            </w:tcBorders>
            <w:shd w:val="clear" w:color="auto" w:fill="auto"/>
            <w:vAlign w:val="bottom"/>
          </w:tcPr>
          <w:p>
            <w:pPr>
              <w:spacing w:line="240" w:lineRule="auto"/>
              <w:jc w:val="left"/>
              <w:rPr>
                <w:rFonts w:ascii="宋体" w:hAnsi="宋体" w:cs="宋体"/>
                <w:color w:val="000000"/>
                <w:sz w:val="18"/>
                <w:szCs w:val="18"/>
              </w:rPr>
            </w:pPr>
          </w:p>
        </w:tc>
        <w:tc>
          <w:tcPr>
            <w:tcW w:w="2237" w:type="dxa"/>
            <w:gridSpan w:val="2"/>
            <w:tcBorders>
              <w:top w:val="nil"/>
              <w:left w:val="nil"/>
              <w:bottom w:val="nil"/>
              <w:right w:val="nil"/>
            </w:tcBorders>
            <w:shd w:val="clear" w:color="auto" w:fill="auto"/>
            <w:vAlign w:val="center"/>
          </w:tcPr>
          <w:p>
            <w:pPr>
              <w:spacing w:line="240" w:lineRule="auto"/>
              <w:jc w:val="right"/>
              <w:textAlignment w:val="center"/>
              <w:rPr>
                <w:rFonts w:ascii="宋体" w:hAnsi="宋体" w:cs="宋体"/>
                <w:color w:val="000000"/>
                <w:sz w:val="18"/>
                <w:szCs w:val="18"/>
              </w:rPr>
            </w:pPr>
            <w:r>
              <w:rPr>
                <w:rFonts w:hint="eastAsia" w:ascii="宋体" w:hAnsi="宋体" w:cs="宋体"/>
                <w:color w:val="000000"/>
                <w:kern w:val="0"/>
                <w:sz w:val="18"/>
                <w:szCs w:val="18"/>
              </w:rPr>
              <w:t>表—12</w:t>
            </w:r>
          </w:p>
        </w:tc>
      </w:tr>
    </w:tbl>
    <w:p>
      <w:pPr>
        <w:pStyle w:val="47"/>
        <w:ind w:firstLine="192"/>
      </w:pPr>
    </w:p>
    <w:tbl>
      <w:tblPr>
        <w:tblStyle w:val="49"/>
        <w:tblW w:w="5000" w:type="pct"/>
        <w:jc w:val="center"/>
        <w:tblLayout w:type="autofit"/>
        <w:tblCellMar>
          <w:top w:w="0" w:type="dxa"/>
          <w:left w:w="108" w:type="dxa"/>
          <w:bottom w:w="0" w:type="dxa"/>
          <w:right w:w="108" w:type="dxa"/>
        </w:tblCellMar>
      </w:tblPr>
      <w:tblGrid>
        <w:gridCol w:w="950"/>
        <w:gridCol w:w="1946"/>
        <w:gridCol w:w="2127"/>
        <w:gridCol w:w="962"/>
        <w:gridCol w:w="929"/>
        <w:gridCol w:w="387"/>
        <w:gridCol w:w="615"/>
        <w:gridCol w:w="1121"/>
      </w:tblGrid>
      <w:tr>
        <w:tblPrEx>
          <w:tblCellMar>
            <w:top w:w="0" w:type="dxa"/>
            <w:left w:w="108" w:type="dxa"/>
            <w:bottom w:w="0" w:type="dxa"/>
            <w:right w:w="108" w:type="dxa"/>
          </w:tblCellMar>
        </w:tblPrEx>
        <w:trPr>
          <w:trHeight w:val="90" w:hRule="atLeast"/>
          <w:jc w:val="center"/>
        </w:trPr>
        <w:tc>
          <w:tcPr>
            <w:tcW w:w="5000" w:type="pct"/>
            <w:gridSpan w:val="8"/>
            <w:tcBorders>
              <w:top w:val="nil"/>
              <w:left w:val="nil"/>
              <w:bottom w:val="nil"/>
              <w:right w:val="nil"/>
            </w:tcBorders>
            <w:shd w:val="clear" w:color="auto" w:fill="auto"/>
            <w:vAlign w:val="center"/>
          </w:tcPr>
          <w:p>
            <w:pPr>
              <w:spacing w:line="240" w:lineRule="auto"/>
              <w:jc w:val="center"/>
              <w:textAlignment w:val="center"/>
              <w:rPr>
                <w:rFonts w:ascii="宋体" w:hAnsi="宋体" w:cs="宋体"/>
                <w:b/>
                <w:bCs/>
                <w:color w:val="000000"/>
                <w:sz w:val="40"/>
                <w:szCs w:val="40"/>
              </w:rPr>
            </w:pPr>
            <w:r>
              <w:rPr>
                <w:rFonts w:hint="eastAsia" w:ascii="宋体" w:hAnsi="宋体" w:cs="宋体"/>
                <w:b/>
                <w:bCs/>
                <w:color w:val="000000"/>
                <w:kern w:val="0"/>
                <w:sz w:val="40"/>
                <w:szCs w:val="40"/>
              </w:rPr>
              <w:t>规费、税金项目清单与计价表</w:t>
            </w:r>
          </w:p>
        </w:tc>
      </w:tr>
      <w:tr>
        <w:tblPrEx>
          <w:tblCellMar>
            <w:top w:w="0" w:type="dxa"/>
            <w:left w:w="108" w:type="dxa"/>
            <w:bottom w:w="0" w:type="dxa"/>
            <w:right w:w="108" w:type="dxa"/>
          </w:tblCellMar>
        </w:tblPrEx>
        <w:trPr>
          <w:trHeight w:val="90" w:hRule="atLeast"/>
          <w:jc w:val="center"/>
        </w:trPr>
        <w:tc>
          <w:tcPr>
            <w:tcW w:w="2780" w:type="pct"/>
            <w:gridSpan w:val="3"/>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工程名称：武警茂名支队机动中队综合智慧训练场建设项目（一期）-安装</w:t>
            </w:r>
          </w:p>
        </w:tc>
        <w:tc>
          <w:tcPr>
            <w:tcW w:w="1260" w:type="pct"/>
            <w:gridSpan w:val="3"/>
            <w:tcBorders>
              <w:top w:val="nil"/>
              <w:left w:val="nil"/>
              <w:bottom w:val="nil"/>
              <w:right w:val="nil"/>
            </w:tcBorders>
            <w:shd w:val="clear" w:color="auto" w:fill="auto"/>
            <w:vAlign w:val="bottom"/>
          </w:tcPr>
          <w:p>
            <w:pPr>
              <w:spacing w:line="240" w:lineRule="auto"/>
              <w:jc w:val="center"/>
              <w:textAlignment w:val="bottom"/>
              <w:rPr>
                <w:rFonts w:ascii="宋体" w:hAnsi="宋体" w:cs="宋体"/>
                <w:color w:val="000000"/>
                <w:sz w:val="20"/>
                <w:szCs w:val="20"/>
              </w:rPr>
            </w:pPr>
            <w:r>
              <w:rPr>
                <w:rFonts w:hint="eastAsia" w:ascii="宋体" w:hAnsi="宋体" w:cs="宋体"/>
                <w:color w:val="000000"/>
                <w:kern w:val="0"/>
                <w:sz w:val="20"/>
                <w:szCs w:val="20"/>
              </w:rPr>
              <w:t>标段：</w:t>
            </w:r>
          </w:p>
        </w:tc>
        <w:tc>
          <w:tcPr>
            <w:tcW w:w="959" w:type="pct"/>
            <w:gridSpan w:val="2"/>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20"/>
                <w:szCs w:val="20"/>
              </w:rPr>
            </w:pPr>
            <w:r>
              <w:rPr>
                <w:rFonts w:hint="eastAsia" w:ascii="宋体" w:hAnsi="宋体" w:cs="宋体"/>
                <w:color w:val="000000"/>
                <w:kern w:val="0"/>
                <w:sz w:val="20"/>
                <w:szCs w:val="20"/>
              </w:rPr>
              <w:t>第 1 页  共 1 页</w:t>
            </w:r>
          </w:p>
        </w:tc>
      </w:tr>
      <w:tr>
        <w:tblPrEx>
          <w:tblCellMar>
            <w:top w:w="0" w:type="dxa"/>
            <w:left w:w="108" w:type="dxa"/>
            <w:bottom w:w="0" w:type="dxa"/>
            <w:right w:w="108" w:type="dxa"/>
          </w:tblCellMar>
        </w:tblPrEx>
        <w:trPr>
          <w:trHeight w:val="570" w:hRule="atLeast"/>
          <w:jc w:val="center"/>
        </w:trPr>
        <w:tc>
          <w:tcPr>
            <w:tcW w:w="526" w:type="pct"/>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序号</w:t>
            </w:r>
          </w:p>
        </w:tc>
        <w:tc>
          <w:tcPr>
            <w:tcW w:w="1077" w:type="pc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项目名称</w:t>
            </w:r>
          </w:p>
        </w:tc>
        <w:tc>
          <w:tcPr>
            <w:tcW w:w="1709" w:type="pct"/>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计算基础</w:t>
            </w:r>
          </w:p>
        </w:tc>
        <w:tc>
          <w:tcPr>
            <w:tcW w:w="514" w:type="pc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计算基数</w:t>
            </w:r>
          </w:p>
        </w:tc>
        <w:tc>
          <w:tcPr>
            <w:tcW w:w="552" w:type="pct"/>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计算费率</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619" w:type="pct"/>
            <w:tcBorders>
              <w:top w:val="single" w:color="000000" w:sz="8"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金额(元)</w:t>
            </w:r>
          </w:p>
        </w:tc>
      </w:tr>
      <w:tr>
        <w:tblPrEx>
          <w:tblCellMar>
            <w:top w:w="0" w:type="dxa"/>
            <w:left w:w="108" w:type="dxa"/>
            <w:bottom w:w="0" w:type="dxa"/>
            <w:right w:w="108" w:type="dxa"/>
          </w:tblCellMar>
        </w:tblPrEx>
        <w:trPr>
          <w:trHeight w:val="57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增值税销项税额</w:t>
            </w: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分部分项合计+措施合计+其他项目</w:t>
            </w: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9</w:t>
            </w: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textAlignment w:val="center"/>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526" w:type="pc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5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619" w:type="pct"/>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righ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4380" w:type="pct"/>
            <w:gridSpan w:val="7"/>
            <w:tcBorders>
              <w:top w:val="single" w:color="000000" w:sz="4" w:space="0"/>
              <w:left w:val="single" w:color="000000" w:sz="8" w:space="0"/>
              <w:bottom w:val="single" w:color="000000" w:sz="8"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18"/>
                <w:szCs w:val="18"/>
              </w:rPr>
            </w:pPr>
            <w:r>
              <w:rPr>
                <w:rFonts w:hint="eastAsia" w:ascii="宋体" w:hAnsi="宋体" w:cs="宋体"/>
                <w:color w:val="000000"/>
                <w:kern w:val="0"/>
                <w:sz w:val="18"/>
                <w:szCs w:val="18"/>
              </w:rPr>
              <w:t>合    计</w:t>
            </w:r>
          </w:p>
        </w:tc>
        <w:tc>
          <w:tcPr>
            <w:tcW w:w="619" w:type="pct"/>
            <w:tcBorders>
              <w:top w:val="single" w:color="000000" w:sz="4" w:space="0"/>
              <w:left w:val="single" w:color="000000" w:sz="4" w:space="0"/>
              <w:bottom w:val="single" w:color="000000" w:sz="8" w:space="0"/>
              <w:right w:val="single" w:color="000000" w:sz="8" w:space="0"/>
            </w:tcBorders>
            <w:shd w:val="clear" w:color="auto" w:fill="auto"/>
            <w:vAlign w:val="center"/>
          </w:tcPr>
          <w:p>
            <w:pPr>
              <w:spacing w:line="240" w:lineRule="auto"/>
              <w:jc w:val="right"/>
              <w:textAlignment w:val="center"/>
              <w:rPr>
                <w:rFonts w:ascii="宋体" w:hAnsi="宋体" w:cs="宋体"/>
                <w:color w:val="000000"/>
                <w:sz w:val="18"/>
                <w:szCs w:val="18"/>
              </w:rPr>
            </w:pPr>
          </w:p>
        </w:tc>
      </w:tr>
      <w:tr>
        <w:tblPrEx>
          <w:tblCellMar>
            <w:top w:w="0" w:type="dxa"/>
            <w:left w:w="108" w:type="dxa"/>
            <w:bottom w:w="0" w:type="dxa"/>
            <w:right w:w="108" w:type="dxa"/>
          </w:tblCellMar>
        </w:tblPrEx>
        <w:trPr>
          <w:trHeight w:val="90" w:hRule="atLeast"/>
          <w:jc w:val="center"/>
        </w:trPr>
        <w:tc>
          <w:tcPr>
            <w:tcW w:w="2780" w:type="pct"/>
            <w:gridSpan w:val="3"/>
            <w:tcBorders>
              <w:top w:val="nil"/>
              <w:left w:val="nil"/>
              <w:bottom w:val="nil"/>
              <w:right w:val="nil"/>
            </w:tcBorders>
            <w:shd w:val="clear" w:color="auto" w:fill="auto"/>
            <w:vAlign w:val="center"/>
          </w:tcPr>
          <w:p>
            <w:pPr>
              <w:spacing w:line="240" w:lineRule="auto"/>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编制人（造价人员）：</w:t>
            </w:r>
          </w:p>
        </w:tc>
        <w:tc>
          <w:tcPr>
            <w:tcW w:w="2219" w:type="pct"/>
            <w:gridSpan w:val="5"/>
            <w:tcBorders>
              <w:top w:val="nil"/>
              <w:left w:val="nil"/>
              <w:bottom w:val="nil"/>
              <w:right w:val="nil"/>
            </w:tcBorders>
            <w:shd w:val="clear" w:color="auto" w:fill="auto"/>
            <w:vAlign w:val="center"/>
          </w:tcPr>
          <w:p>
            <w:pPr>
              <w:spacing w:line="240" w:lineRule="auto"/>
              <w:jc w:val="center"/>
              <w:textAlignment w:val="center"/>
              <w:rPr>
                <w:rFonts w:ascii="宋体" w:hAnsi="宋体" w:cs="宋体"/>
                <w:color w:val="000000"/>
                <w:sz w:val="18"/>
                <w:szCs w:val="18"/>
              </w:rPr>
            </w:pPr>
            <w:r>
              <w:rPr>
                <w:rFonts w:hint="eastAsia" w:ascii="宋体" w:hAnsi="宋体" w:cs="宋体"/>
                <w:color w:val="000000"/>
                <w:kern w:val="0"/>
                <w:sz w:val="18"/>
                <w:szCs w:val="18"/>
              </w:rPr>
              <w:t>复核人（造价工程师）：</w:t>
            </w:r>
          </w:p>
        </w:tc>
      </w:tr>
      <w:tr>
        <w:tblPrEx>
          <w:tblCellMar>
            <w:top w:w="0" w:type="dxa"/>
            <w:left w:w="108" w:type="dxa"/>
            <w:bottom w:w="0" w:type="dxa"/>
            <w:right w:w="108" w:type="dxa"/>
          </w:tblCellMar>
        </w:tblPrEx>
        <w:trPr>
          <w:trHeight w:val="90" w:hRule="atLeast"/>
          <w:jc w:val="center"/>
        </w:trPr>
        <w:tc>
          <w:tcPr>
            <w:tcW w:w="2780" w:type="pct"/>
            <w:gridSpan w:val="3"/>
            <w:tcBorders>
              <w:top w:val="nil"/>
              <w:left w:val="nil"/>
              <w:bottom w:val="nil"/>
              <w:right w:val="nil"/>
            </w:tcBorders>
            <w:shd w:val="clear" w:color="auto" w:fill="auto"/>
            <w:vAlign w:val="center"/>
          </w:tcPr>
          <w:p>
            <w:pPr>
              <w:spacing w:line="240" w:lineRule="auto"/>
              <w:jc w:val="left"/>
              <w:rPr>
                <w:rFonts w:ascii="宋体" w:hAnsi="宋体" w:cs="宋体"/>
                <w:color w:val="000000"/>
                <w:sz w:val="18"/>
                <w:szCs w:val="18"/>
              </w:rPr>
            </w:pPr>
          </w:p>
        </w:tc>
        <w:tc>
          <w:tcPr>
            <w:tcW w:w="1260" w:type="pct"/>
            <w:gridSpan w:val="3"/>
            <w:tcBorders>
              <w:top w:val="nil"/>
              <w:left w:val="nil"/>
              <w:bottom w:val="nil"/>
              <w:right w:val="nil"/>
            </w:tcBorders>
            <w:shd w:val="clear" w:color="auto" w:fill="auto"/>
            <w:vAlign w:val="center"/>
          </w:tcPr>
          <w:p>
            <w:pPr>
              <w:spacing w:line="240" w:lineRule="auto"/>
              <w:jc w:val="center"/>
              <w:rPr>
                <w:rFonts w:ascii="宋体" w:hAnsi="宋体" w:cs="宋体"/>
                <w:color w:val="000000"/>
                <w:sz w:val="18"/>
                <w:szCs w:val="18"/>
              </w:rPr>
            </w:pPr>
          </w:p>
        </w:tc>
        <w:tc>
          <w:tcPr>
            <w:tcW w:w="959" w:type="pct"/>
            <w:gridSpan w:val="2"/>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18"/>
                <w:szCs w:val="18"/>
              </w:rPr>
            </w:pPr>
            <w:r>
              <w:rPr>
                <w:rFonts w:hint="eastAsia" w:ascii="宋体" w:hAnsi="宋体" w:cs="宋体"/>
                <w:color w:val="000000"/>
                <w:kern w:val="0"/>
                <w:sz w:val="18"/>
                <w:szCs w:val="18"/>
              </w:rPr>
              <w:t>表—13</w:t>
            </w:r>
          </w:p>
        </w:tc>
      </w:tr>
    </w:tbl>
    <w:p>
      <w:pPr>
        <w:pStyle w:val="47"/>
        <w:ind w:firstLine="192"/>
      </w:pPr>
    </w:p>
    <w:tbl>
      <w:tblPr>
        <w:tblStyle w:val="49"/>
        <w:tblW w:w="10410" w:type="dxa"/>
        <w:jc w:val="center"/>
        <w:tblLayout w:type="autofit"/>
        <w:tblCellMar>
          <w:top w:w="0" w:type="dxa"/>
          <w:left w:w="108" w:type="dxa"/>
          <w:bottom w:w="0" w:type="dxa"/>
          <w:right w:w="108" w:type="dxa"/>
        </w:tblCellMar>
      </w:tblPr>
      <w:tblGrid>
        <w:gridCol w:w="640"/>
        <w:gridCol w:w="2415"/>
        <w:gridCol w:w="716"/>
        <w:gridCol w:w="1077"/>
        <w:gridCol w:w="1045"/>
        <w:gridCol w:w="145"/>
        <w:gridCol w:w="1000"/>
        <w:gridCol w:w="803"/>
        <w:gridCol w:w="266"/>
        <w:gridCol w:w="1293"/>
        <w:gridCol w:w="1010"/>
      </w:tblGrid>
      <w:tr>
        <w:tblPrEx>
          <w:tblCellMar>
            <w:top w:w="0" w:type="dxa"/>
            <w:left w:w="108" w:type="dxa"/>
            <w:bottom w:w="0" w:type="dxa"/>
            <w:right w:w="108" w:type="dxa"/>
          </w:tblCellMar>
        </w:tblPrEx>
        <w:trPr>
          <w:trHeight w:val="93" w:hRule="atLeast"/>
          <w:jc w:val="center"/>
        </w:trPr>
        <w:tc>
          <w:tcPr>
            <w:tcW w:w="10410" w:type="dxa"/>
            <w:gridSpan w:val="11"/>
            <w:tcBorders>
              <w:top w:val="nil"/>
              <w:left w:val="nil"/>
              <w:bottom w:val="nil"/>
              <w:right w:val="nil"/>
            </w:tcBorders>
            <w:shd w:val="clear" w:color="auto" w:fill="auto"/>
            <w:vAlign w:val="center"/>
          </w:tcPr>
          <w:p>
            <w:pPr>
              <w:spacing w:line="240" w:lineRule="auto"/>
              <w:jc w:val="center"/>
              <w:textAlignment w:val="center"/>
              <w:rPr>
                <w:rFonts w:ascii="宋体" w:hAnsi="宋体" w:cs="宋体"/>
                <w:b/>
                <w:bCs/>
                <w:color w:val="000000"/>
                <w:sz w:val="40"/>
                <w:szCs w:val="40"/>
              </w:rPr>
            </w:pPr>
            <w:r>
              <w:rPr>
                <w:rFonts w:hint="eastAsia" w:ascii="宋体" w:hAnsi="宋体" w:cs="宋体"/>
                <w:b/>
                <w:bCs/>
                <w:color w:val="000000"/>
                <w:kern w:val="0"/>
                <w:sz w:val="40"/>
                <w:szCs w:val="40"/>
              </w:rPr>
              <w:t>承包人提供主要材料和工程设备一览表</w:t>
            </w:r>
          </w:p>
        </w:tc>
      </w:tr>
      <w:tr>
        <w:tblPrEx>
          <w:tblCellMar>
            <w:top w:w="0" w:type="dxa"/>
            <w:left w:w="108" w:type="dxa"/>
            <w:bottom w:w="0" w:type="dxa"/>
            <w:right w:w="108" w:type="dxa"/>
          </w:tblCellMar>
        </w:tblPrEx>
        <w:trPr>
          <w:trHeight w:val="90" w:hRule="atLeast"/>
          <w:jc w:val="center"/>
        </w:trPr>
        <w:tc>
          <w:tcPr>
            <w:tcW w:w="10410" w:type="dxa"/>
            <w:gridSpan w:val="11"/>
            <w:tcBorders>
              <w:top w:val="nil"/>
              <w:left w:val="nil"/>
              <w:bottom w:val="nil"/>
              <w:right w:val="nil"/>
            </w:tcBorders>
            <w:shd w:val="clear" w:color="auto" w:fill="auto"/>
            <w:vAlign w:val="center"/>
          </w:tcPr>
          <w:p>
            <w:pPr>
              <w:spacing w:line="240" w:lineRule="auto"/>
              <w:jc w:val="center"/>
              <w:textAlignment w:val="center"/>
              <w:rPr>
                <w:rFonts w:ascii="宋体" w:hAnsi="宋体" w:cs="宋体"/>
                <w:color w:val="000000"/>
                <w:sz w:val="32"/>
                <w:szCs w:val="32"/>
              </w:rPr>
            </w:pPr>
            <w:r>
              <w:rPr>
                <w:rFonts w:hint="eastAsia" w:ascii="宋体" w:hAnsi="宋体" w:cs="宋体"/>
                <w:color w:val="000000"/>
                <w:kern w:val="0"/>
                <w:sz w:val="32"/>
                <w:szCs w:val="32"/>
              </w:rPr>
              <w:t>(适用于造价信息差额调整法)</w:t>
            </w:r>
          </w:p>
        </w:tc>
      </w:tr>
      <w:tr>
        <w:tblPrEx>
          <w:tblCellMar>
            <w:top w:w="0" w:type="dxa"/>
            <w:left w:w="108" w:type="dxa"/>
            <w:bottom w:w="0" w:type="dxa"/>
            <w:right w:w="108" w:type="dxa"/>
          </w:tblCellMar>
        </w:tblPrEx>
        <w:trPr>
          <w:trHeight w:val="570" w:hRule="atLeast"/>
          <w:jc w:val="center"/>
        </w:trPr>
        <w:tc>
          <w:tcPr>
            <w:tcW w:w="6038" w:type="dxa"/>
            <w:gridSpan w:val="6"/>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工程名称：武警茂名支队机动中队综合智慧训练场建设项目（一期）-安装</w:t>
            </w:r>
          </w:p>
        </w:tc>
        <w:tc>
          <w:tcPr>
            <w:tcW w:w="1803" w:type="dxa"/>
            <w:gridSpan w:val="2"/>
            <w:tcBorders>
              <w:top w:val="nil"/>
              <w:left w:val="nil"/>
              <w:bottom w:val="nil"/>
              <w:right w:val="nil"/>
            </w:tcBorders>
            <w:shd w:val="clear" w:color="auto" w:fill="auto"/>
            <w:vAlign w:val="bottom"/>
          </w:tcPr>
          <w:p>
            <w:pPr>
              <w:spacing w:line="240" w:lineRule="auto"/>
              <w:jc w:val="left"/>
              <w:textAlignment w:val="bottom"/>
              <w:rPr>
                <w:rFonts w:ascii="宋体" w:hAnsi="宋体" w:cs="宋体"/>
                <w:color w:val="000000"/>
                <w:sz w:val="20"/>
                <w:szCs w:val="20"/>
              </w:rPr>
            </w:pPr>
            <w:r>
              <w:rPr>
                <w:rFonts w:hint="eastAsia" w:ascii="宋体" w:hAnsi="宋体" w:cs="宋体"/>
                <w:color w:val="000000"/>
                <w:kern w:val="0"/>
                <w:sz w:val="20"/>
                <w:szCs w:val="20"/>
              </w:rPr>
              <w:t>标段：</w:t>
            </w:r>
          </w:p>
        </w:tc>
        <w:tc>
          <w:tcPr>
            <w:tcW w:w="2569" w:type="dxa"/>
            <w:gridSpan w:val="3"/>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20"/>
                <w:szCs w:val="20"/>
              </w:rPr>
            </w:pPr>
            <w:r>
              <w:rPr>
                <w:rFonts w:hint="eastAsia" w:ascii="宋体" w:hAnsi="宋体" w:cs="宋体"/>
                <w:color w:val="000000"/>
                <w:kern w:val="0"/>
                <w:sz w:val="20"/>
                <w:szCs w:val="20"/>
              </w:rPr>
              <w:t>第 1 页  共 1 页</w:t>
            </w:r>
          </w:p>
        </w:tc>
      </w:tr>
      <w:tr>
        <w:tblPrEx>
          <w:tblCellMar>
            <w:top w:w="0" w:type="dxa"/>
            <w:left w:w="108" w:type="dxa"/>
            <w:bottom w:w="0" w:type="dxa"/>
            <w:right w:w="108" w:type="dxa"/>
          </w:tblCellMar>
        </w:tblPrEx>
        <w:trPr>
          <w:trHeight w:val="825" w:hRule="atLeast"/>
          <w:jc w:val="center"/>
        </w:trPr>
        <w:tc>
          <w:tcPr>
            <w:tcW w:w="640" w:type="dxa"/>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序号</w:t>
            </w:r>
          </w:p>
        </w:tc>
        <w:tc>
          <w:tcPr>
            <w:tcW w:w="2415"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名称、规格、型号</w:t>
            </w:r>
          </w:p>
        </w:tc>
        <w:tc>
          <w:tcPr>
            <w:tcW w:w="716"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单位</w:t>
            </w:r>
          </w:p>
        </w:tc>
        <w:tc>
          <w:tcPr>
            <w:tcW w:w="1077"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数量</w:t>
            </w:r>
          </w:p>
        </w:tc>
        <w:tc>
          <w:tcPr>
            <w:tcW w:w="1045"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风险系数</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w:t>
            </w:r>
          </w:p>
        </w:tc>
        <w:tc>
          <w:tcPr>
            <w:tcW w:w="1145"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基准单价</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（元）</w:t>
            </w:r>
          </w:p>
        </w:tc>
        <w:tc>
          <w:tcPr>
            <w:tcW w:w="1069"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投标单价</w:t>
            </w:r>
          </w:p>
        </w:tc>
        <w:tc>
          <w:tcPr>
            <w:tcW w:w="1293" w:type="dxa"/>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发承包人</w:t>
            </w:r>
          </w:p>
          <w:p>
            <w:pPr>
              <w:spacing w:line="240" w:lineRule="auto"/>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确认单价</w:t>
            </w:r>
          </w:p>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(元)</w:t>
            </w:r>
          </w:p>
        </w:tc>
        <w:tc>
          <w:tcPr>
            <w:tcW w:w="1010" w:type="dxa"/>
            <w:tcBorders>
              <w:top w:val="single" w:color="000000" w:sz="8" w:space="0"/>
              <w:left w:val="single" w:color="000000" w:sz="4" w:space="0"/>
              <w:bottom w:val="single" w:color="000000" w:sz="4" w:space="0"/>
              <w:right w:val="single" w:color="000000" w:sz="8"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备注</w:t>
            </w:r>
          </w:p>
        </w:tc>
      </w:tr>
      <w:tr>
        <w:tblPrEx>
          <w:tblCellMar>
            <w:top w:w="0" w:type="dxa"/>
            <w:left w:w="108" w:type="dxa"/>
            <w:bottom w:w="0" w:type="dxa"/>
            <w:right w:w="108" w:type="dxa"/>
          </w:tblCellMar>
        </w:tblPrEx>
        <w:trPr>
          <w:trHeight w:val="342"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 xml:space="preserve">人工费 </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元</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0.96</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FF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2</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 xml:space="preserve">水 </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m3</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r>
              <w:rPr>
                <w:rFonts w:hint="eastAsia" w:ascii="宋体" w:hAnsi="宋体" w:cs="宋体"/>
                <w:kern w:val="0"/>
                <w:sz w:val="20"/>
                <w:szCs w:val="20"/>
              </w:rPr>
              <w:t>1.7085</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kern w:val="0"/>
                <w:sz w:val="20"/>
                <w:szCs w:val="20"/>
              </w:rPr>
            </w:pPr>
            <w:r>
              <w:rPr>
                <w:rFonts w:hint="eastAsia" w:ascii="宋体" w:hAnsi="宋体" w:cs="宋体"/>
                <w:kern w:val="0"/>
                <w:sz w:val="20"/>
                <w:szCs w:val="20"/>
              </w:rPr>
              <w:t>3.83</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3</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 xml:space="preserve">联想启天M435 </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套</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r>
              <w:rPr>
                <w:rFonts w:hint="eastAsia" w:ascii="宋体" w:hAnsi="宋体" w:cs="宋体"/>
                <w:kern w:val="0"/>
                <w:sz w:val="20"/>
                <w:szCs w:val="20"/>
              </w:rPr>
              <w:t>1</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kern w:val="0"/>
                <w:sz w:val="20"/>
                <w:szCs w:val="20"/>
              </w:rPr>
            </w:pPr>
            <w:r>
              <w:rPr>
                <w:rFonts w:hint="eastAsia" w:ascii="宋体" w:hAnsi="宋体" w:cs="宋体"/>
                <w:kern w:val="0"/>
                <w:sz w:val="20"/>
                <w:szCs w:val="20"/>
              </w:rPr>
              <w:t>5900</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4</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PVC-U塑料排水管 Ф315</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m</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r>
              <w:rPr>
                <w:rFonts w:hint="eastAsia" w:ascii="宋体" w:hAnsi="宋体" w:cs="宋体"/>
                <w:kern w:val="0"/>
                <w:sz w:val="20"/>
                <w:szCs w:val="20"/>
              </w:rPr>
              <w:t>14.895</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kern w:val="0"/>
                <w:sz w:val="20"/>
                <w:szCs w:val="20"/>
              </w:rPr>
            </w:pPr>
            <w:r>
              <w:rPr>
                <w:rFonts w:hint="eastAsia" w:ascii="宋体" w:hAnsi="宋体" w:cs="宋体"/>
                <w:kern w:val="0"/>
                <w:sz w:val="20"/>
                <w:szCs w:val="20"/>
              </w:rPr>
              <w:t>89</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5</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PVC-U塑料排水管件 Ф315</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个</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r>
              <w:rPr>
                <w:rFonts w:hint="eastAsia" w:ascii="宋体" w:hAnsi="宋体" w:cs="宋体"/>
                <w:kern w:val="0"/>
                <w:sz w:val="20"/>
                <w:szCs w:val="20"/>
              </w:rPr>
              <w:t>0.66</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kern w:val="0"/>
                <w:sz w:val="20"/>
                <w:szCs w:val="20"/>
              </w:rPr>
            </w:pPr>
            <w:r>
              <w:rPr>
                <w:rFonts w:hint="eastAsia" w:ascii="宋体" w:hAnsi="宋体" w:cs="宋体"/>
                <w:kern w:val="0"/>
                <w:sz w:val="20"/>
                <w:szCs w:val="20"/>
              </w:rPr>
              <w:t>13</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6</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 xml:space="preserve">户外P10全彩LED显示大屏 </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m2</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r>
              <w:rPr>
                <w:rFonts w:hint="eastAsia" w:ascii="宋体" w:hAnsi="宋体" w:cs="宋体"/>
                <w:kern w:val="0"/>
                <w:sz w:val="20"/>
                <w:szCs w:val="20"/>
              </w:rPr>
              <w:t>81.7152</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kern w:val="0"/>
                <w:sz w:val="20"/>
                <w:szCs w:val="20"/>
              </w:rPr>
            </w:pPr>
            <w:r>
              <w:rPr>
                <w:rFonts w:hint="eastAsia" w:ascii="宋体" w:hAnsi="宋体" w:cs="宋体"/>
                <w:kern w:val="0"/>
                <w:sz w:val="20"/>
                <w:szCs w:val="20"/>
              </w:rPr>
              <w:t>6150</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7</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 xml:space="preserve">音箱 </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台</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r>
              <w:rPr>
                <w:rFonts w:hint="eastAsia" w:ascii="宋体" w:hAnsi="宋体" w:cs="宋体"/>
                <w:kern w:val="0"/>
                <w:sz w:val="20"/>
                <w:szCs w:val="20"/>
              </w:rPr>
              <w:t>1</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kern w:val="0"/>
                <w:sz w:val="20"/>
                <w:szCs w:val="20"/>
              </w:rPr>
            </w:pPr>
            <w:r>
              <w:rPr>
                <w:rFonts w:hint="eastAsia" w:ascii="宋体" w:hAnsi="宋体" w:cs="宋体"/>
                <w:kern w:val="0"/>
                <w:sz w:val="20"/>
                <w:szCs w:val="20"/>
              </w:rPr>
              <w:t>6000</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8</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sz w:val="20"/>
                <w:szCs w:val="20"/>
              </w:rPr>
            </w:pPr>
            <w:r>
              <w:rPr>
                <w:rFonts w:hint="eastAsia" w:ascii="宋体" w:hAnsi="宋体" w:cs="宋体"/>
                <w:kern w:val="0"/>
                <w:sz w:val="20"/>
                <w:szCs w:val="20"/>
              </w:rPr>
              <w:t>分体式室外空调器 国产2匹</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sz w:val="20"/>
                <w:szCs w:val="20"/>
              </w:rPr>
            </w:pPr>
            <w:r>
              <w:rPr>
                <w:rFonts w:hint="eastAsia" w:ascii="宋体" w:hAnsi="宋体" w:cs="宋体"/>
                <w:kern w:val="0"/>
                <w:sz w:val="20"/>
                <w:szCs w:val="20"/>
              </w:rPr>
              <w:t>台</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r>
              <w:rPr>
                <w:rFonts w:hint="eastAsia" w:ascii="宋体" w:hAnsi="宋体" w:cs="宋体"/>
                <w:kern w:val="0"/>
                <w:sz w:val="20"/>
                <w:szCs w:val="20"/>
              </w:rPr>
              <w:t>4</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kern w:val="0"/>
                <w:sz w:val="20"/>
                <w:szCs w:val="20"/>
              </w:rPr>
            </w:pPr>
            <w:r>
              <w:rPr>
                <w:rFonts w:hint="eastAsia" w:ascii="宋体" w:hAnsi="宋体" w:cs="宋体"/>
                <w:kern w:val="0"/>
                <w:sz w:val="20"/>
                <w:szCs w:val="20"/>
              </w:rPr>
              <w:t>3800</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9</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 xml:space="preserve">机上人工 </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工日</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0.6367</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220.8</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10</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柴油 (机械用)0#</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kg</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9.8915</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8.61</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11</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电 (机械用)</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textAlignment w:val="center"/>
              <w:rPr>
                <w:rFonts w:ascii="宋体" w:hAnsi="宋体" w:cs="宋体"/>
                <w:color w:val="000000"/>
                <w:sz w:val="20"/>
                <w:szCs w:val="20"/>
              </w:rPr>
            </w:pPr>
            <w:r>
              <w:rPr>
                <w:rFonts w:hint="eastAsia" w:ascii="宋体" w:hAnsi="宋体" w:cs="宋体"/>
                <w:color w:val="000000"/>
                <w:kern w:val="0"/>
                <w:sz w:val="20"/>
                <w:szCs w:val="20"/>
              </w:rPr>
              <w:t>kw·h</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20.1689</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0.67</w:t>
            </w: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textAlignment w:val="center"/>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4"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360" w:hRule="atLeast"/>
          <w:jc w:val="center"/>
        </w:trPr>
        <w:tc>
          <w:tcPr>
            <w:tcW w:w="640" w:type="dxa"/>
            <w:tcBorders>
              <w:top w:val="single" w:color="000000" w:sz="4" w:space="0"/>
              <w:left w:val="single" w:color="000000" w:sz="8" w:space="0"/>
              <w:bottom w:val="single" w:color="000000" w:sz="8"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2415"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left"/>
              <w:rPr>
                <w:rFonts w:ascii="宋体" w:hAnsi="宋体" w:cs="宋体"/>
                <w:color w:val="000000"/>
                <w:sz w:val="20"/>
                <w:szCs w:val="20"/>
              </w:rPr>
            </w:pPr>
          </w:p>
        </w:tc>
        <w:tc>
          <w:tcPr>
            <w:tcW w:w="716"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center"/>
              <w:rPr>
                <w:rFonts w:ascii="宋体" w:hAnsi="宋体" w:cs="宋体"/>
                <w:color w:val="000000"/>
                <w:sz w:val="20"/>
                <w:szCs w:val="20"/>
              </w:rPr>
            </w:pPr>
          </w:p>
        </w:tc>
        <w:tc>
          <w:tcPr>
            <w:tcW w:w="1077"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45"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145"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69"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293" w:type="dxa"/>
            <w:tcBorders>
              <w:top w:val="single" w:color="000000" w:sz="4" w:space="0"/>
              <w:left w:val="single" w:color="000000" w:sz="4" w:space="0"/>
              <w:bottom w:val="single" w:color="000000" w:sz="8" w:space="0"/>
              <w:right w:val="single" w:color="000000" w:sz="4" w:space="0"/>
            </w:tcBorders>
            <w:shd w:val="clear" w:color="auto" w:fill="auto"/>
            <w:vAlign w:val="center"/>
          </w:tcPr>
          <w:p>
            <w:pPr>
              <w:spacing w:line="240" w:lineRule="auto"/>
              <w:jc w:val="right"/>
              <w:rPr>
                <w:rFonts w:ascii="宋体" w:hAnsi="宋体" w:cs="宋体"/>
                <w:color w:val="000000"/>
                <w:sz w:val="20"/>
                <w:szCs w:val="20"/>
              </w:rPr>
            </w:pPr>
          </w:p>
        </w:tc>
        <w:tc>
          <w:tcPr>
            <w:tcW w:w="1010" w:type="dxa"/>
            <w:tcBorders>
              <w:top w:val="single" w:color="000000" w:sz="4" w:space="0"/>
              <w:left w:val="single" w:color="000000" w:sz="4" w:space="0"/>
              <w:bottom w:val="single" w:color="000000" w:sz="8" w:space="0"/>
              <w:right w:val="single" w:color="000000" w:sz="8" w:space="0"/>
            </w:tcBorders>
            <w:shd w:val="clear" w:color="auto" w:fill="auto"/>
            <w:vAlign w:val="center"/>
          </w:tcPr>
          <w:p>
            <w:pPr>
              <w:spacing w:line="240" w:lineRule="auto"/>
              <w:jc w:val="left"/>
              <w:rPr>
                <w:rFonts w:ascii="宋体" w:hAnsi="宋体" w:cs="宋体"/>
                <w:color w:val="000000"/>
                <w:sz w:val="20"/>
                <w:szCs w:val="20"/>
              </w:rPr>
            </w:pPr>
          </w:p>
        </w:tc>
      </w:tr>
      <w:tr>
        <w:tblPrEx>
          <w:tblCellMar>
            <w:top w:w="0" w:type="dxa"/>
            <w:left w:w="108" w:type="dxa"/>
            <w:bottom w:w="0" w:type="dxa"/>
            <w:right w:w="108" w:type="dxa"/>
          </w:tblCellMar>
        </w:tblPrEx>
        <w:trPr>
          <w:trHeight w:val="576" w:hRule="atLeast"/>
          <w:jc w:val="center"/>
        </w:trPr>
        <w:tc>
          <w:tcPr>
            <w:tcW w:w="10410" w:type="dxa"/>
            <w:gridSpan w:val="11"/>
            <w:tcBorders>
              <w:top w:val="nil"/>
              <w:left w:val="nil"/>
              <w:bottom w:val="nil"/>
              <w:right w:val="nil"/>
            </w:tcBorders>
            <w:shd w:val="clear" w:color="auto" w:fill="auto"/>
            <w:vAlign w:val="center"/>
          </w:tcPr>
          <w:p>
            <w:pPr>
              <w:spacing w:line="240" w:lineRule="auto"/>
              <w:jc w:val="left"/>
              <w:textAlignment w:val="center"/>
              <w:rPr>
                <w:rFonts w:ascii="宋体" w:hAnsi="宋体" w:cs="宋体"/>
                <w:color w:val="000000"/>
                <w:kern w:val="0"/>
                <w:sz w:val="18"/>
                <w:szCs w:val="18"/>
              </w:rPr>
            </w:pPr>
            <w:r>
              <w:rPr>
                <w:rFonts w:hint="eastAsia" w:ascii="宋体" w:hAnsi="宋体" w:cs="宋体"/>
                <w:color w:val="000000"/>
                <w:kern w:val="0"/>
                <w:sz w:val="18"/>
                <w:szCs w:val="18"/>
              </w:rPr>
              <w:t>注：1.此表由招标人填写除“投标单价”栏的内容，投标人在投标时自主确定投标单价。</w:t>
            </w:r>
          </w:p>
          <w:p>
            <w:pPr>
              <w:spacing w:line="240" w:lineRule="auto"/>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2.基准单价应优先采用工程造价管理机构发布的单价，未发布的，通过市场调查确定其基准单价。</w:t>
            </w:r>
          </w:p>
        </w:tc>
      </w:tr>
      <w:tr>
        <w:tblPrEx>
          <w:tblCellMar>
            <w:top w:w="0" w:type="dxa"/>
            <w:left w:w="108" w:type="dxa"/>
            <w:bottom w:w="0" w:type="dxa"/>
            <w:right w:w="108" w:type="dxa"/>
          </w:tblCellMar>
        </w:tblPrEx>
        <w:trPr>
          <w:trHeight w:val="90" w:hRule="atLeast"/>
          <w:jc w:val="center"/>
        </w:trPr>
        <w:tc>
          <w:tcPr>
            <w:tcW w:w="6038" w:type="dxa"/>
            <w:gridSpan w:val="6"/>
            <w:tcBorders>
              <w:top w:val="nil"/>
              <w:left w:val="nil"/>
              <w:bottom w:val="nil"/>
              <w:right w:val="nil"/>
            </w:tcBorders>
            <w:shd w:val="clear" w:color="auto" w:fill="auto"/>
            <w:vAlign w:val="center"/>
          </w:tcPr>
          <w:p>
            <w:pPr>
              <w:spacing w:line="240" w:lineRule="auto"/>
              <w:rPr>
                <w:rFonts w:ascii="宋体" w:hAnsi="宋体" w:cs="宋体"/>
                <w:color w:val="000000"/>
                <w:sz w:val="18"/>
                <w:szCs w:val="18"/>
              </w:rPr>
            </w:pPr>
          </w:p>
        </w:tc>
        <w:tc>
          <w:tcPr>
            <w:tcW w:w="1803" w:type="dxa"/>
            <w:gridSpan w:val="2"/>
            <w:tcBorders>
              <w:top w:val="nil"/>
              <w:left w:val="nil"/>
              <w:bottom w:val="nil"/>
              <w:right w:val="nil"/>
            </w:tcBorders>
            <w:shd w:val="clear" w:color="auto" w:fill="auto"/>
            <w:vAlign w:val="center"/>
          </w:tcPr>
          <w:p>
            <w:pPr>
              <w:spacing w:line="240" w:lineRule="auto"/>
              <w:rPr>
                <w:rFonts w:ascii="宋体" w:hAnsi="宋体" w:cs="宋体"/>
                <w:color w:val="000000"/>
                <w:sz w:val="18"/>
                <w:szCs w:val="18"/>
              </w:rPr>
            </w:pPr>
          </w:p>
        </w:tc>
        <w:tc>
          <w:tcPr>
            <w:tcW w:w="2569" w:type="dxa"/>
            <w:gridSpan w:val="3"/>
            <w:tcBorders>
              <w:top w:val="nil"/>
              <w:left w:val="nil"/>
              <w:bottom w:val="nil"/>
              <w:right w:val="nil"/>
            </w:tcBorders>
            <w:shd w:val="clear" w:color="auto" w:fill="auto"/>
            <w:vAlign w:val="bottom"/>
          </w:tcPr>
          <w:p>
            <w:pPr>
              <w:spacing w:line="240" w:lineRule="auto"/>
              <w:jc w:val="right"/>
              <w:textAlignment w:val="bottom"/>
              <w:rPr>
                <w:rFonts w:ascii="宋体" w:hAnsi="宋体" w:cs="宋体"/>
                <w:color w:val="000000"/>
                <w:sz w:val="18"/>
                <w:szCs w:val="18"/>
              </w:rPr>
            </w:pPr>
            <w:r>
              <w:rPr>
                <w:rFonts w:hint="eastAsia" w:ascii="宋体" w:hAnsi="宋体" w:cs="宋体"/>
                <w:color w:val="000000"/>
                <w:kern w:val="0"/>
                <w:sz w:val="18"/>
                <w:szCs w:val="18"/>
              </w:rPr>
              <w:t>表-21</w:t>
            </w:r>
          </w:p>
        </w:tc>
      </w:tr>
    </w:tbl>
    <w:p>
      <w:pPr>
        <w:pStyle w:val="47"/>
        <w:ind w:firstLine="192"/>
      </w:pPr>
    </w:p>
    <w:p>
      <w:pPr>
        <w:pStyle w:val="5"/>
        <w:rPr>
          <w:rFonts w:ascii="宋体" w:hAnsi="宋体"/>
        </w:rPr>
      </w:pPr>
      <w:r>
        <w:rPr>
          <w:rFonts w:hint="eastAsia" w:ascii="宋体" w:hAnsi="宋体"/>
        </w:rPr>
        <w:t>三、商务要求</w:t>
      </w:r>
    </w:p>
    <w:p>
      <w:pPr>
        <w:widowControl w:val="0"/>
        <w:adjustRightInd w:val="0"/>
        <w:snapToGrid w:val="0"/>
        <w:ind w:firstLine="386" w:firstLineChars="200"/>
        <w:rPr>
          <w:rFonts w:ascii="宋体" w:hAnsi="宋体"/>
          <w:b/>
          <w:bCs/>
          <w:szCs w:val="21"/>
        </w:rPr>
      </w:pPr>
      <w:bookmarkStart w:id="25" w:name="_Hlk36470154"/>
      <w:r>
        <w:rPr>
          <w:rFonts w:hint="eastAsia" w:ascii="宋体" w:hAnsi="宋体"/>
          <w:b/>
          <w:bCs/>
          <w:szCs w:val="21"/>
        </w:rPr>
        <w:t>（一）工期要求</w:t>
      </w:r>
    </w:p>
    <w:p>
      <w:pPr>
        <w:widowControl w:val="0"/>
        <w:adjustRightInd w:val="0"/>
        <w:snapToGrid w:val="0"/>
        <w:ind w:firstLine="386" w:firstLineChars="200"/>
        <w:rPr>
          <w:rFonts w:ascii="宋体" w:hAnsi="宋体"/>
          <w:szCs w:val="21"/>
        </w:rPr>
      </w:pPr>
      <w:r>
        <w:rPr>
          <w:rFonts w:hint="eastAsia" w:ascii="宋体" w:hAnsi="宋体"/>
          <w:szCs w:val="21"/>
        </w:rPr>
        <w:t>本项目工期为 80 个日历天内完工。工期从采购人发布开工令之日起计算，响应供应商也可自报工期，但不能超过采购人规定的总工期。成交供应商在成交公告发布后的10个日历日内，须完成施工合同的签署、施工人力组织和施工材料的准备工作。</w:t>
      </w:r>
    </w:p>
    <w:p>
      <w:pPr>
        <w:widowControl w:val="0"/>
        <w:adjustRightInd w:val="0"/>
        <w:snapToGrid w:val="0"/>
        <w:ind w:firstLine="386" w:firstLineChars="200"/>
        <w:rPr>
          <w:rFonts w:ascii="宋体" w:hAnsi="宋体"/>
          <w:b/>
          <w:bCs/>
          <w:szCs w:val="21"/>
        </w:rPr>
      </w:pPr>
      <w:r>
        <w:rPr>
          <w:rFonts w:hint="eastAsia" w:ascii="宋体" w:hAnsi="宋体"/>
          <w:b/>
          <w:bCs/>
          <w:szCs w:val="21"/>
        </w:rPr>
        <w:t>（二）工程质量保修期</w:t>
      </w:r>
    </w:p>
    <w:p>
      <w:pPr>
        <w:widowControl w:val="0"/>
        <w:adjustRightInd w:val="0"/>
        <w:snapToGrid w:val="0"/>
        <w:ind w:firstLine="386" w:firstLineChars="200"/>
        <w:rPr>
          <w:rFonts w:ascii="宋体" w:hAnsi="宋体"/>
          <w:color w:val="FF0000"/>
          <w:szCs w:val="21"/>
        </w:rPr>
      </w:pPr>
      <w:r>
        <w:rPr>
          <w:rFonts w:hint="eastAsia" w:ascii="宋体" w:hAnsi="宋体"/>
          <w:color w:val="auto"/>
          <w:szCs w:val="21"/>
        </w:rPr>
        <w:t>自全部工程竣工验收合格之日起算，工程的质量保修期为</w:t>
      </w:r>
      <w:r>
        <w:rPr>
          <w:rFonts w:hint="eastAsia" w:ascii="宋体" w:hAnsi="宋体"/>
          <w:b/>
          <w:bCs/>
          <w:color w:val="auto"/>
          <w:szCs w:val="21"/>
          <w:lang w:val="en-US" w:eastAsia="zh-CN"/>
        </w:rPr>
        <w:t>贰</w:t>
      </w:r>
      <w:r>
        <w:rPr>
          <w:rFonts w:hint="eastAsia" w:ascii="宋体" w:hAnsi="宋体"/>
          <w:color w:val="auto"/>
          <w:szCs w:val="21"/>
        </w:rPr>
        <w:t>年，缺陷责任期为自实际交工日期起计算</w:t>
      </w:r>
      <w:r>
        <w:rPr>
          <w:rFonts w:hint="eastAsia" w:ascii="宋体" w:hAnsi="宋体"/>
          <w:b/>
          <w:bCs/>
          <w:color w:val="auto"/>
          <w:szCs w:val="21"/>
        </w:rPr>
        <w:t>贰</w:t>
      </w:r>
      <w:r>
        <w:rPr>
          <w:rFonts w:hint="eastAsia" w:ascii="宋体" w:hAnsi="宋体"/>
          <w:color w:val="auto"/>
          <w:szCs w:val="21"/>
        </w:rPr>
        <w:t>年。</w:t>
      </w:r>
      <w:r>
        <w:rPr>
          <w:rFonts w:hint="eastAsia" w:ascii="宋体" w:hAnsi="宋体"/>
          <w:szCs w:val="21"/>
        </w:rPr>
        <w:t>在工程保修期内，承包人应当根据有关法律以及合同规定，在约定的保修范围、保修期限内承担保修责任。保修的费用由造成质量缺陷的责任方承担。</w:t>
      </w:r>
    </w:p>
    <w:p>
      <w:pPr>
        <w:widowControl w:val="0"/>
        <w:adjustRightInd w:val="0"/>
        <w:snapToGrid w:val="0"/>
        <w:ind w:firstLine="386" w:firstLineChars="200"/>
        <w:rPr>
          <w:rFonts w:ascii="宋体" w:hAnsi="宋体"/>
          <w:b/>
          <w:bCs/>
          <w:szCs w:val="21"/>
        </w:rPr>
      </w:pPr>
      <w:r>
        <w:rPr>
          <w:rFonts w:hint="eastAsia" w:ascii="宋体" w:hAnsi="宋体"/>
          <w:b/>
          <w:bCs/>
          <w:szCs w:val="21"/>
        </w:rPr>
        <w:t>（三）质量要求</w:t>
      </w:r>
    </w:p>
    <w:p>
      <w:pPr>
        <w:widowControl w:val="0"/>
        <w:adjustRightInd w:val="0"/>
        <w:snapToGrid w:val="0"/>
        <w:ind w:firstLine="386" w:firstLineChars="200"/>
        <w:rPr>
          <w:rFonts w:ascii="宋体" w:hAnsi="宋体"/>
          <w:szCs w:val="21"/>
        </w:rPr>
      </w:pPr>
      <w:r>
        <w:rPr>
          <w:rFonts w:hint="eastAsia" w:ascii="宋体" w:hAnsi="宋体"/>
          <w:szCs w:val="21"/>
        </w:rPr>
        <w:t>本工程所有的设备和材料所涉及的设计标准、规范，产品标准、规范，工程标准、规范，验收标准、规范等必须完全符合中华人民共和国相应的标准和规范。成交供应商在施工中如果工程质量不符合设计要求和有关规定，采购人有权要求成交供应商停工和返工，成交供应商须立即执行，并承担由此产生的各种费用，工期不予顺延。</w:t>
      </w:r>
    </w:p>
    <w:p>
      <w:pPr>
        <w:widowControl w:val="0"/>
        <w:adjustRightInd w:val="0"/>
        <w:snapToGrid w:val="0"/>
        <w:ind w:firstLine="386" w:firstLineChars="200"/>
        <w:rPr>
          <w:rFonts w:ascii="宋体" w:hAnsi="宋体"/>
          <w:b/>
          <w:bCs/>
          <w:szCs w:val="21"/>
        </w:rPr>
      </w:pPr>
      <w:r>
        <w:rPr>
          <w:rFonts w:hint="eastAsia" w:ascii="宋体" w:hAnsi="宋体"/>
          <w:b/>
          <w:bCs/>
          <w:szCs w:val="21"/>
        </w:rPr>
        <w:t>（四）材料及设备供应要求</w:t>
      </w:r>
    </w:p>
    <w:p>
      <w:pPr>
        <w:widowControl w:val="0"/>
        <w:adjustRightInd w:val="0"/>
        <w:snapToGrid w:val="0"/>
        <w:ind w:firstLine="386" w:firstLineChars="200"/>
        <w:rPr>
          <w:rFonts w:ascii="宋体" w:hAnsi="宋体"/>
          <w:szCs w:val="21"/>
        </w:rPr>
      </w:pPr>
      <w:r>
        <w:rPr>
          <w:rFonts w:hint="eastAsia" w:ascii="宋体" w:hAnsi="宋体"/>
          <w:szCs w:val="21"/>
        </w:rPr>
        <w:t>1．本工程承包范围内所需的材料、成品、未成品的采购、运输、保管、质量等责任均由成交供应商承担，采购人不提供任何材料。</w:t>
      </w:r>
    </w:p>
    <w:p>
      <w:pPr>
        <w:widowControl w:val="0"/>
        <w:adjustRightInd w:val="0"/>
        <w:snapToGrid w:val="0"/>
        <w:ind w:firstLine="386" w:firstLineChars="200"/>
        <w:rPr>
          <w:rFonts w:ascii="宋体" w:hAnsi="宋体"/>
          <w:szCs w:val="21"/>
        </w:rPr>
      </w:pPr>
      <w:r>
        <w:rPr>
          <w:rFonts w:hint="eastAsia" w:ascii="宋体" w:hAnsi="宋体"/>
          <w:szCs w:val="21"/>
        </w:rPr>
        <w:t>2．本工程使用的材料，其名称、品种、型号、规格、质量等均应符合国家、地方及行业有关规范及要求，同时须符合设计要求。</w:t>
      </w:r>
    </w:p>
    <w:p>
      <w:pPr>
        <w:widowControl w:val="0"/>
        <w:adjustRightInd w:val="0"/>
        <w:snapToGrid w:val="0"/>
        <w:ind w:firstLine="386" w:firstLineChars="200"/>
        <w:rPr>
          <w:rFonts w:ascii="宋体" w:hAnsi="宋体"/>
          <w:szCs w:val="21"/>
        </w:rPr>
      </w:pPr>
      <w:r>
        <w:rPr>
          <w:rFonts w:hint="eastAsia" w:ascii="宋体" w:hAnsi="宋体"/>
          <w:szCs w:val="21"/>
        </w:rPr>
        <w:t>3．响应供应商除按有关规定报价外，工程实施时，如发生货不对板，采购人有权拒用，由此所造成的损失由成交供应商承担。如非因成交供应商原因确需更换，由成交供应商确定，且价格不予调整。</w:t>
      </w:r>
    </w:p>
    <w:p>
      <w:pPr>
        <w:widowControl w:val="0"/>
        <w:adjustRightInd w:val="0"/>
        <w:snapToGrid w:val="0"/>
        <w:ind w:firstLine="386" w:firstLineChars="200"/>
        <w:rPr>
          <w:rFonts w:ascii="宋体" w:hAnsi="宋体"/>
          <w:szCs w:val="21"/>
        </w:rPr>
      </w:pPr>
      <w:r>
        <w:rPr>
          <w:rFonts w:hint="eastAsia" w:ascii="宋体" w:hAnsi="宋体"/>
          <w:szCs w:val="21"/>
        </w:rPr>
        <w:t>4．本工程使用的材料，成交供应商均应提供生产厂家出具的材料合格证书或由国家认可的具备检测资质的第三方检验检测机构出具的检测报告。主要材料须在材料进场报验前提供样板并经采购人确认，符合工程要求，成交供应商才可以购买和使用。如发生货不对板，采购人有权拒用，并由成交供应商承担损失。</w:t>
      </w:r>
    </w:p>
    <w:p>
      <w:pPr>
        <w:widowControl w:val="0"/>
        <w:adjustRightInd w:val="0"/>
        <w:snapToGrid w:val="0"/>
        <w:ind w:firstLine="386" w:firstLineChars="200"/>
        <w:rPr>
          <w:rFonts w:ascii="宋体" w:hAnsi="宋体"/>
          <w:szCs w:val="21"/>
        </w:rPr>
      </w:pPr>
      <w:r>
        <w:rPr>
          <w:rFonts w:hint="eastAsia" w:ascii="宋体" w:hAnsi="宋体"/>
          <w:szCs w:val="21"/>
        </w:rPr>
        <w:t>5．采购人保留对本工程使用的主要材料品质确认审查的权利及保留另行委托专业队伍对本工程进行独立检测的权利，检测费用包含在投标报价中，采购人不再另行支付。</w:t>
      </w:r>
    </w:p>
    <w:p>
      <w:pPr>
        <w:widowControl w:val="0"/>
        <w:adjustRightInd w:val="0"/>
        <w:snapToGrid w:val="0"/>
        <w:ind w:firstLine="386" w:firstLineChars="200"/>
        <w:rPr>
          <w:rFonts w:ascii="宋体" w:hAnsi="宋体"/>
          <w:szCs w:val="21"/>
        </w:rPr>
      </w:pPr>
      <w:r>
        <w:rPr>
          <w:rFonts w:hint="eastAsia" w:ascii="宋体" w:hAnsi="宋体"/>
          <w:szCs w:val="21"/>
        </w:rPr>
        <w:t>6．若响应供应商使用的材料设备标准在本采购需求技术要求的规定外，响应供应商应明确说明用于替代的标准或使用规范并提供所使用的标准，该标准须是国家公认的同等或更高级的标准，如响应供应商所使用的标准低于上述标准，采购人将有权不予接受。</w:t>
      </w:r>
    </w:p>
    <w:p>
      <w:pPr>
        <w:widowControl w:val="0"/>
        <w:adjustRightInd w:val="0"/>
        <w:snapToGrid w:val="0"/>
        <w:ind w:firstLine="386" w:firstLineChars="200"/>
        <w:rPr>
          <w:rFonts w:ascii="宋体" w:hAnsi="宋体"/>
          <w:szCs w:val="21"/>
        </w:rPr>
      </w:pPr>
      <w:r>
        <w:rPr>
          <w:rFonts w:hint="eastAsia" w:ascii="宋体" w:hAnsi="宋体"/>
          <w:szCs w:val="21"/>
        </w:rPr>
        <w:t>7．由于成交供应商提供的伪劣、假冒等所有不合格材料而导致的损失、事故及一切后果，均由成交供应商负责并赔偿所有损失，并负责更换所有已施工的不合格材料。</w:t>
      </w:r>
    </w:p>
    <w:p>
      <w:pPr>
        <w:widowControl w:val="0"/>
        <w:adjustRightInd w:val="0"/>
        <w:snapToGrid w:val="0"/>
        <w:ind w:firstLine="386" w:firstLineChars="200"/>
        <w:rPr>
          <w:rFonts w:ascii="宋体" w:hAnsi="宋体"/>
          <w:szCs w:val="21"/>
        </w:rPr>
      </w:pPr>
      <w:r>
        <w:rPr>
          <w:rFonts w:hint="eastAsia" w:ascii="宋体" w:hAnsi="宋体"/>
          <w:szCs w:val="21"/>
        </w:rPr>
        <w:t>8．磋商报价范围之内工程所用的设备，由成交供应商提供，并须达到中华人民共和国以及广东省现行工程建设标准、规范的要求。</w:t>
      </w:r>
    </w:p>
    <w:p>
      <w:pPr>
        <w:widowControl w:val="0"/>
        <w:adjustRightInd w:val="0"/>
        <w:snapToGrid w:val="0"/>
        <w:ind w:firstLine="386" w:firstLineChars="200"/>
        <w:rPr>
          <w:rFonts w:ascii="宋体" w:hAnsi="宋体"/>
          <w:szCs w:val="21"/>
        </w:rPr>
      </w:pPr>
      <w:r>
        <w:rPr>
          <w:rFonts w:hint="eastAsia" w:ascii="宋体" w:hAnsi="宋体"/>
          <w:szCs w:val="21"/>
        </w:rPr>
        <w:t>9．因项目工期紧急，为加快工程进度，响应供应商须为本项目投入以下设备：冲击钻、电焊机、石材切割机、电钻、电镐、空压机、投线仪、磨光机、开槽机。</w:t>
      </w:r>
    </w:p>
    <w:p>
      <w:pPr>
        <w:widowControl w:val="0"/>
        <w:adjustRightInd w:val="0"/>
        <w:snapToGrid w:val="0"/>
        <w:ind w:left="391" w:leftChars="201" w:hanging="4" w:hangingChars="2"/>
        <w:rPr>
          <w:rFonts w:ascii="宋体" w:hAnsi="宋体"/>
          <w:b/>
          <w:bCs/>
          <w:szCs w:val="21"/>
        </w:rPr>
      </w:pPr>
      <w:r>
        <w:rPr>
          <w:rFonts w:hint="eastAsia" w:ascii="宋体" w:hAnsi="宋体"/>
          <w:b/>
          <w:bCs/>
          <w:szCs w:val="21"/>
        </w:rPr>
        <w:t>（五）施工条件及管理要求</w:t>
      </w:r>
    </w:p>
    <w:p>
      <w:pPr>
        <w:widowControl w:val="0"/>
        <w:adjustRightInd w:val="0"/>
        <w:snapToGrid w:val="0"/>
        <w:ind w:left="9" w:leftChars="5" w:firstLine="376" w:firstLineChars="195"/>
        <w:rPr>
          <w:rFonts w:ascii="宋体" w:hAnsi="宋体"/>
          <w:szCs w:val="21"/>
        </w:rPr>
      </w:pPr>
      <w:r>
        <w:rPr>
          <w:rFonts w:hint="eastAsia" w:ascii="宋体" w:hAnsi="宋体"/>
          <w:szCs w:val="21"/>
        </w:rPr>
        <w:t>1．在签订合同后，采购人根据实际需要，每次向成交供应商发出工程内容的通知，成交供应商在收到通知后，应24小时内进行确认。</w:t>
      </w:r>
    </w:p>
    <w:p>
      <w:pPr>
        <w:widowControl w:val="0"/>
        <w:adjustRightInd w:val="0"/>
        <w:snapToGrid w:val="0"/>
        <w:ind w:firstLine="386" w:firstLineChars="200"/>
        <w:rPr>
          <w:rFonts w:ascii="宋体" w:hAnsi="宋体"/>
          <w:szCs w:val="21"/>
        </w:rPr>
      </w:pPr>
      <w:r>
        <w:rPr>
          <w:rFonts w:hint="eastAsia" w:ascii="宋体" w:hAnsi="宋体"/>
          <w:szCs w:val="21"/>
        </w:rPr>
        <w:t>2．成交供应商必须严格按照已经确认的施工方案组织施工，并接受采购人或其委托的监理单位对工程质量、工期、安全、文明施工、环保及工地纪律的监督和管理。</w:t>
      </w:r>
    </w:p>
    <w:p>
      <w:pPr>
        <w:widowControl w:val="0"/>
        <w:adjustRightInd w:val="0"/>
        <w:snapToGrid w:val="0"/>
        <w:ind w:firstLine="386" w:firstLineChars="200"/>
        <w:rPr>
          <w:rFonts w:ascii="宋体" w:hAnsi="宋体"/>
          <w:szCs w:val="21"/>
        </w:rPr>
      </w:pPr>
      <w:r>
        <w:rPr>
          <w:rFonts w:hint="eastAsia" w:ascii="宋体" w:hAnsi="宋体"/>
          <w:szCs w:val="21"/>
        </w:rPr>
        <w:t>3．施工用水、用电由采购人指定驳接点，由成交供应商自行布线管、加表计量，并按有关规定向采购人缴纳实耗水电费，成交供应商须在工程完成竣工验收退场后，一次性缴清水电费。</w:t>
      </w:r>
    </w:p>
    <w:p>
      <w:pPr>
        <w:widowControl w:val="0"/>
        <w:adjustRightInd w:val="0"/>
        <w:snapToGrid w:val="0"/>
        <w:ind w:firstLine="386" w:firstLineChars="200"/>
        <w:rPr>
          <w:rFonts w:ascii="宋体" w:hAnsi="宋体"/>
          <w:szCs w:val="21"/>
        </w:rPr>
      </w:pPr>
      <w:r>
        <w:rPr>
          <w:rFonts w:hint="eastAsia" w:ascii="宋体" w:hAnsi="宋体"/>
          <w:szCs w:val="21"/>
        </w:rPr>
        <w:t>4．成交供应商承诺必须建立施工安全用电制度，确保施工用电设备的完好无损，并设置漏电保护装置。</w:t>
      </w:r>
    </w:p>
    <w:p>
      <w:pPr>
        <w:widowControl w:val="0"/>
        <w:adjustRightInd w:val="0"/>
        <w:snapToGrid w:val="0"/>
        <w:ind w:firstLine="386" w:firstLineChars="200"/>
        <w:rPr>
          <w:rFonts w:ascii="宋体" w:hAnsi="宋体"/>
          <w:szCs w:val="21"/>
        </w:rPr>
      </w:pPr>
      <w:r>
        <w:rPr>
          <w:rFonts w:hint="eastAsia" w:ascii="宋体" w:hAnsi="宋体"/>
          <w:szCs w:val="21"/>
        </w:rPr>
        <w:t>5．响应供应商在响应文件中必须承诺自行解决工人宿舍用地、食堂与生活设施等场地问题。</w:t>
      </w:r>
    </w:p>
    <w:p>
      <w:pPr>
        <w:widowControl w:val="0"/>
        <w:adjustRightInd w:val="0"/>
        <w:snapToGrid w:val="0"/>
        <w:ind w:firstLine="386" w:firstLineChars="200"/>
        <w:rPr>
          <w:rFonts w:ascii="宋体" w:hAnsi="宋体"/>
          <w:szCs w:val="21"/>
        </w:rPr>
      </w:pPr>
      <w:r>
        <w:rPr>
          <w:rFonts w:hint="eastAsia" w:ascii="宋体" w:hAnsi="宋体"/>
          <w:szCs w:val="21"/>
        </w:rPr>
        <w:t>6．在工程进行中，成交供应商要注意保护现场内的各种管线和设施。若有任何损坏，须立即通知采购人有关部门，并由损坏责任单位承担损失和修复费用。</w:t>
      </w:r>
    </w:p>
    <w:p>
      <w:pPr>
        <w:widowControl w:val="0"/>
        <w:adjustRightInd w:val="0"/>
        <w:snapToGrid w:val="0"/>
        <w:ind w:firstLine="386" w:firstLineChars="200"/>
        <w:rPr>
          <w:rFonts w:ascii="宋体" w:hAnsi="宋体"/>
          <w:szCs w:val="21"/>
        </w:rPr>
      </w:pPr>
      <w:r>
        <w:rPr>
          <w:rFonts w:hint="eastAsia" w:ascii="宋体" w:hAnsi="宋体"/>
          <w:szCs w:val="21"/>
        </w:rPr>
        <w:t>7．响应供应商承诺建筑垃圾必须及时清运干净，施工过程中应采取必要的有效措施减少对单位进出人员的生活、工作造成的影响，并确保各方人员的安全。施工区域内由于成交供应商原因造成的一切人员的伤亡，均由成交供应商承担由此产生的一切赔偿等后果。</w:t>
      </w:r>
    </w:p>
    <w:p>
      <w:pPr>
        <w:widowControl w:val="0"/>
        <w:adjustRightInd w:val="0"/>
        <w:snapToGrid w:val="0"/>
        <w:ind w:firstLine="386" w:firstLineChars="200"/>
        <w:rPr>
          <w:rFonts w:ascii="宋体" w:hAnsi="宋体"/>
          <w:szCs w:val="21"/>
        </w:rPr>
      </w:pPr>
      <w:r>
        <w:rPr>
          <w:rFonts w:hint="eastAsia" w:ascii="宋体" w:hAnsi="宋体"/>
          <w:szCs w:val="21"/>
        </w:rPr>
        <w:t>8．施工所用的机械工具由成交供应商施工队伍自备及自费运到施工工地，进场后进行必要的性能安全检查，完工后从工地自费搬出运走，施工所用的材料及机械工具须提供适当的场所存放并由施工队伍自行保管，不得随便存放，以免造成不必要的丢失、损坏。</w:t>
      </w:r>
    </w:p>
    <w:p>
      <w:pPr>
        <w:widowControl w:val="0"/>
        <w:adjustRightInd w:val="0"/>
        <w:snapToGrid w:val="0"/>
        <w:ind w:firstLine="386" w:firstLineChars="200"/>
        <w:rPr>
          <w:rFonts w:ascii="宋体" w:hAnsi="宋体"/>
          <w:szCs w:val="21"/>
        </w:rPr>
      </w:pPr>
      <w:r>
        <w:rPr>
          <w:rFonts w:hint="eastAsia" w:ascii="宋体" w:hAnsi="宋体"/>
          <w:szCs w:val="21"/>
        </w:rPr>
        <w:t>9．成交供应商在施工期间应严格遵守国家、广东省、茂名市有关防火、防爆和施工安全以及文明施工，深夜施工、环卫、治安与城管等规定，应建立规章制度和防护、防范措施，并承担由于自身措施不力造成事故责任和发生的费用。</w:t>
      </w:r>
    </w:p>
    <w:p>
      <w:pPr>
        <w:widowControl w:val="0"/>
        <w:adjustRightInd w:val="0"/>
        <w:snapToGrid w:val="0"/>
        <w:ind w:firstLine="386" w:firstLineChars="200"/>
        <w:rPr>
          <w:rFonts w:ascii="宋体" w:hAnsi="宋体"/>
          <w:szCs w:val="21"/>
        </w:rPr>
      </w:pPr>
      <w:r>
        <w:rPr>
          <w:rFonts w:hint="eastAsia" w:ascii="宋体" w:hAnsi="宋体"/>
          <w:szCs w:val="21"/>
        </w:rPr>
        <w:t>10．施工时间安排：上午：7：00——12：00，下午：14：00——18：00，如遇特殊情况，以采购人书面或口头通知为准。</w:t>
      </w:r>
    </w:p>
    <w:p>
      <w:pPr>
        <w:widowControl w:val="0"/>
        <w:adjustRightInd w:val="0"/>
        <w:snapToGrid w:val="0"/>
        <w:ind w:firstLine="386" w:firstLineChars="200"/>
        <w:rPr>
          <w:rFonts w:ascii="宋体" w:hAnsi="宋体"/>
          <w:b/>
          <w:bCs/>
          <w:szCs w:val="21"/>
        </w:rPr>
      </w:pPr>
      <w:r>
        <w:rPr>
          <w:rFonts w:hint="eastAsia" w:ascii="宋体" w:hAnsi="宋体"/>
          <w:b/>
          <w:bCs/>
          <w:szCs w:val="21"/>
        </w:rPr>
        <w:t>（六）承包方式</w:t>
      </w:r>
    </w:p>
    <w:bookmarkEnd w:id="25"/>
    <w:p>
      <w:pPr>
        <w:widowControl w:val="0"/>
        <w:adjustRightInd w:val="0"/>
        <w:snapToGrid w:val="0"/>
        <w:ind w:firstLine="386" w:firstLineChars="200"/>
      </w:pPr>
      <w:bookmarkStart w:id="26" w:name="_Toc520896120"/>
      <w:bookmarkStart w:id="27" w:name="_Toc491604885"/>
      <w:r>
        <w:rPr>
          <w:rFonts w:hint="eastAsia"/>
        </w:rPr>
        <w:t>☑</w:t>
      </w:r>
      <w:r>
        <w:t>固定单价合同方式：报价文件包含报价总价及综合单价时，综合单价为合同单价。工程量清单项目的综合单价在约定条件及范围内是固定的，工程量按实结算，工程量清单项目综合单价在约定的条件及范围外，允许调整。</w:t>
      </w:r>
    </w:p>
    <w:p>
      <w:pPr>
        <w:widowControl w:val="0"/>
        <w:adjustRightInd w:val="0"/>
        <w:snapToGrid w:val="0"/>
        <w:ind w:firstLine="386" w:firstLineChars="200"/>
      </w:pPr>
      <w:r>
        <w:rPr>
          <w:rFonts w:hint="eastAsia"/>
        </w:rPr>
        <w:t>□</w:t>
      </w:r>
      <w:r>
        <w:t>固定总价合同方式：报价文件包含报价总价及综合单价时，报价总价为合同总价。合同总价在磋商文件及施工合同约定的风险范围之内</w:t>
      </w:r>
      <w:r>
        <w:rPr>
          <w:rFonts w:hint="eastAsia"/>
        </w:rPr>
        <w:t>（</w:t>
      </w:r>
      <w:r>
        <w:t>图纸、磋商文件以及技术资料的固定</w:t>
      </w:r>
      <w:r>
        <w:rPr>
          <w:rFonts w:hint="eastAsia"/>
        </w:rPr>
        <w:t>）</w:t>
      </w:r>
      <w:r>
        <w:t>不可调整，当施工过程中发生设计变更，按照规定予以增减造价。</w:t>
      </w:r>
    </w:p>
    <w:p>
      <w:pPr>
        <w:widowControl w:val="0"/>
        <w:adjustRightInd w:val="0"/>
        <w:snapToGrid w:val="0"/>
        <w:ind w:firstLine="386" w:firstLineChars="200"/>
        <w:rPr>
          <w:rFonts w:ascii="宋体" w:hAnsi="宋体"/>
          <w:szCs w:val="21"/>
        </w:rPr>
      </w:pPr>
      <w:r>
        <w:rPr>
          <w:rFonts w:ascii="宋体" w:hAnsi="宋体"/>
          <w:szCs w:val="21"/>
        </w:rPr>
        <w:t>风险范围以外合同价款调整方法：按政府对工程结算办法的政策性调整，施工期间若人工、材料价格涨落时施工期间的信息价平均值增减超出投标截止日期上月信息价平均值增减，超出投标截止日期，上月信息价±5%时，价差按实计算调整。</w:t>
      </w:r>
    </w:p>
    <w:bookmarkEnd w:id="26"/>
    <w:bookmarkEnd w:id="27"/>
    <w:p>
      <w:pPr>
        <w:widowControl w:val="0"/>
        <w:adjustRightInd w:val="0"/>
        <w:snapToGrid w:val="0"/>
        <w:ind w:firstLine="386" w:firstLineChars="200"/>
        <w:rPr>
          <w:rFonts w:ascii="宋体" w:hAnsi="宋体"/>
          <w:b/>
          <w:bCs/>
          <w:szCs w:val="21"/>
        </w:rPr>
      </w:pPr>
      <w:bookmarkStart w:id="28" w:name="_Toc491604886"/>
      <w:bookmarkStart w:id="29" w:name="_Toc520896121"/>
      <w:r>
        <w:rPr>
          <w:rFonts w:hint="eastAsia" w:ascii="宋体" w:hAnsi="宋体"/>
          <w:b/>
          <w:bCs/>
          <w:szCs w:val="21"/>
        </w:rPr>
        <w:t>（七）</w:t>
      </w:r>
      <w:r>
        <w:rPr>
          <w:rFonts w:ascii="宋体" w:hAnsi="宋体"/>
          <w:b/>
          <w:bCs/>
          <w:szCs w:val="21"/>
        </w:rPr>
        <w:t>伴随服务</w:t>
      </w:r>
    </w:p>
    <w:p>
      <w:pPr>
        <w:widowControl w:val="0"/>
        <w:adjustRightInd w:val="0"/>
        <w:snapToGrid w:val="0"/>
        <w:ind w:firstLine="386" w:firstLineChars="200"/>
        <w:rPr>
          <w:rFonts w:ascii="宋体" w:hAnsi="宋体"/>
          <w:szCs w:val="21"/>
        </w:rPr>
      </w:pPr>
      <w:r>
        <w:rPr>
          <w:rFonts w:hint="eastAsia" w:ascii="宋体" w:hAnsi="宋体"/>
          <w:szCs w:val="21"/>
        </w:rPr>
        <w:t>1.</w:t>
      </w:r>
      <w:r>
        <w:rPr>
          <w:rFonts w:ascii="宋体" w:hAnsi="宋体"/>
          <w:szCs w:val="21"/>
        </w:rPr>
        <w:t>承包人</w:t>
      </w:r>
      <w:r>
        <w:rPr>
          <w:rFonts w:hint="eastAsia" w:ascii="宋体" w:hAnsi="宋体"/>
          <w:szCs w:val="21"/>
        </w:rPr>
        <w:t>必须按照报价文件中所做出的承诺，建立项目经理和现场管理机构主要部门负责人：项目经理及项目技术负责人。</w:t>
      </w:r>
    </w:p>
    <w:p>
      <w:pPr>
        <w:widowControl w:val="0"/>
        <w:adjustRightInd w:val="0"/>
        <w:snapToGrid w:val="0"/>
        <w:ind w:firstLine="386" w:firstLineChars="200"/>
        <w:rPr>
          <w:rFonts w:ascii="宋体" w:hAnsi="宋体"/>
          <w:szCs w:val="21"/>
        </w:rPr>
      </w:pPr>
      <w:r>
        <w:rPr>
          <w:rFonts w:hint="eastAsia" w:ascii="宋体" w:hAnsi="宋体"/>
          <w:szCs w:val="21"/>
        </w:rPr>
        <w:t>2.工程经理和现场管理机构主要部门负责人在开工前必须到位，并接受采购人代表的查验。未到位的，按照约定承担违约责任。</w:t>
      </w:r>
    </w:p>
    <w:p>
      <w:pPr>
        <w:widowControl w:val="0"/>
        <w:adjustRightInd w:val="0"/>
        <w:snapToGrid w:val="0"/>
        <w:ind w:firstLine="386" w:firstLineChars="200"/>
        <w:rPr>
          <w:rFonts w:ascii="宋体" w:hAnsi="宋体"/>
          <w:szCs w:val="21"/>
        </w:rPr>
      </w:pPr>
      <w:r>
        <w:rPr>
          <w:rFonts w:hint="eastAsia" w:ascii="宋体" w:hAnsi="宋体"/>
          <w:szCs w:val="21"/>
        </w:rPr>
        <w:t>3.承包人因特殊情况需要更换工程经理和现场管理机构主要部门负责人的，应至少提前 7 天以书面形式（附前任和后任人员的详细履历资料）向采购单位提出申请，并征得采购单位同意。</w:t>
      </w:r>
      <w:r>
        <w:rPr>
          <w:rFonts w:ascii="宋体" w:hAnsi="宋体"/>
          <w:szCs w:val="21"/>
        </w:rPr>
        <w:t>承包人</w:t>
      </w:r>
      <w:r>
        <w:rPr>
          <w:rFonts w:hint="eastAsia" w:ascii="宋体" w:hAnsi="宋体"/>
          <w:szCs w:val="21"/>
        </w:rPr>
        <w:t>必须保证后任人员的资质、资历、业绩、实际工作能力不低于前任人员的素质。前任人员更换后，后任继续行使合同文件约定的前任的职权，履行前任的义务。</w:t>
      </w:r>
    </w:p>
    <w:p>
      <w:pPr>
        <w:widowControl w:val="0"/>
        <w:adjustRightInd w:val="0"/>
        <w:snapToGrid w:val="0"/>
        <w:ind w:firstLine="386" w:firstLineChars="200"/>
        <w:rPr>
          <w:rFonts w:ascii="宋体" w:hAnsi="宋体"/>
          <w:szCs w:val="21"/>
        </w:rPr>
      </w:pPr>
      <w:r>
        <w:rPr>
          <w:rFonts w:hint="eastAsia" w:ascii="宋体" w:hAnsi="宋体"/>
          <w:szCs w:val="21"/>
        </w:rPr>
        <w:t>4.工程经理和现场管理机构主要部门负责人的实际工作能力和工作表现达不到要求、或工作态度存在严重不足，不适应现场工作需要，采购单位有权向</w:t>
      </w:r>
      <w:r>
        <w:rPr>
          <w:rFonts w:ascii="宋体" w:hAnsi="宋体"/>
          <w:szCs w:val="21"/>
        </w:rPr>
        <w:t>承包人</w:t>
      </w:r>
      <w:r>
        <w:rPr>
          <w:rFonts w:hint="eastAsia" w:ascii="宋体" w:hAnsi="宋体"/>
          <w:szCs w:val="21"/>
        </w:rPr>
        <w:t>提出撤换。</w:t>
      </w:r>
      <w:r>
        <w:rPr>
          <w:rFonts w:ascii="宋体" w:hAnsi="宋体"/>
          <w:szCs w:val="21"/>
        </w:rPr>
        <w:t>承包人</w:t>
      </w:r>
      <w:r>
        <w:rPr>
          <w:rFonts w:hint="eastAsia" w:ascii="宋体" w:hAnsi="宋体"/>
          <w:szCs w:val="21"/>
        </w:rPr>
        <w:t>可以提出整改意见；如采购人不予接受，则承包人必须在 7 天内无条件撤换，所调换来人员的资质、资历、学历、职称、业绩、实际工作能力不低于原报价文件中所承诺人员的素质。</w:t>
      </w:r>
    </w:p>
    <w:p>
      <w:pPr>
        <w:widowControl w:val="0"/>
        <w:adjustRightInd w:val="0"/>
        <w:snapToGrid w:val="0"/>
        <w:ind w:firstLine="386" w:firstLineChars="200"/>
        <w:rPr>
          <w:rFonts w:ascii="宋体" w:hAnsi="宋体"/>
          <w:szCs w:val="21"/>
        </w:rPr>
      </w:pPr>
      <w:r>
        <w:rPr>
          <w:rFonts w:hint="eastAsia" w:ascii="宋体" w:hAnsi="宋体"/>
          <w:szCs w:val="21"/>
        </w:rPr>
        <w:t>5.工程经理和现场管理机构主要部门负责人必须全职在现场办公，不得兼职或者擅自离岗。因特殊情况需短暂离岗的，应当事先报采购人批准，必须妥善安排工地现场的工作交接。</w:t>
      </w:r>
    </w:p>
    <w:p>
      <w:pPr>
        <w:widowControl w:val="0"/>
        <w:adjustRightInd w:val="0"/>
        <w:snapToGrid w:val="0"/>
        <w:ind w:firstLine="386" w:firstLineChars="200"/>
        <w:rPr>
          <w:rFonts w:ascii="宋体" w:hAnsi="宋体"/>
          <w:szCs w:val="21"/>
        </w:rPr>
      </w:pPr>
      <w:r>
        <w:rPr>
          <w:rFonts w:hint="eastAsia" w:ascii="宋体" w:hAnsi="宋体"/>
          <w:szCs w:val="21"/>
        </w:rPr>
        <w:t>6.</w:t>
      </w:r>
      <w:r>
        <w:rPr>
          <w:rFonts w:ascii="宋体" w:hAnsi="宋体"/>
          <w:szCs w:val="21"/>
        </w:rPr>
        <w:t>承包人</w:t>
      </w:r>
      <w:r>
        <w:rPr>
          <w:rFonts w:hint="eastAsia" w:ascii="宋体" w:hAnsi="宋体"/>
          <w:szCs w:val="21"/>
        </w:rPr>
        <w:t>必须在开工前一周内将施工组织计划、安全文明施工方案提供给采购人审定，并填写开工报告，获批准后才能施工。如没有办齐上述手续而施工的，其责任自负</w:t>
      </w:r>
      <w:r>
        <w:rPr>
          <w:rFonts w:ascii="宋体" w:hAnsi="宋体"/>
          <w:szCs w:val="21"/>
        </w:rPr>
        <w:t>。</w:t>
      </w:r>
    </w:p>
    <w:p>
      <w:pPr>
        <w:widowControl w:val="0"/>
        <w:adjustRightInd w:val="0"/>
        <w:snapToGrid w:val="0"/>
        <w:ind w:firstLine="386" w:firstLineChars="200"/>
        <w:rPr>
          <w:rFonts w:ascii="宋体" w:hAnsi="宋体"/>
          <w:b/>
          <w:bCs/>
          <w:szCs w:val="21"/>
        </w:rPr>
      </w:pPr>
      <w:r>
        <w:rPr>
          <w:rFonts w:hint="eastAsia" w:ascii="宋体" w:hAnsi="宋体"/>
          <w:b/>
          <w:bCs/>
          <w:szCs w:val="21"/>
        </w:rPr>
        <w:t>（八）安全文明施工要求</w:t>
      </w:r>
    </w:p>
    <w:p>
      <w:pPr>
        <w:pStyle w:val="2"/>
        <w:widowControl w:val="0"/>
        <w:ind w:firstLine="380" w:firstLineChars="197"/>
        <w:rPr>
          <w:rFonts w:ascii="宋体" w:hAnsi="宋体" w:eastAsia="宋体" w:cs="宋体"/>
        </w:rPr>
      </w:pPr>
      <w:r>
        <w:rPr>
          <w:rFonts w:hint="eastAsia" w:ascii="宋体" w:hAnsi="宋体" w:eastAsia="宋体" w:cs="宋体"/>
        </w:rPr>
        <w:t>1.</w:t>
      </w:r>
      <w:r>
        <w:rPr>
          <w:rFonts w:ascii="宋体" w:hAnsi="宋体" w:eastAsia="宋体" w:cs="宋体"/>
        </w:rPr>
        <w:t>安全文明施工标准：杜绝一般事故等级及以上的伤亡事故且工伤责任事故死亡人数为零。</w:t>
      </w:r>
    </w:p>
    <w:p>
      <w:pPr>
        <w:pStyle w:val="2"/>
        <w:widowControl w:val="0"/>
        <w:ind w:firstLine="380" w:firstLineChars="197"/>
        <w:rPr>
          <w:rFonts w:ascii="宋体" w:hAnsi="宋体" w:eastAsia="宋体" w:cs="宋体"/>
        </w:rPr>
      </w:pPr>
      <w:r>
        <w:rPr>
          <w:rFonts w:hint="eastAsia" w:ascii="宋体" w:hAnsi="宋体" w:eastAsia="宋体" w:cs="宋体"/>
        </w:rPr>
        <w:t>2.</w:t>
      </w:r>
      <w:r>
        <w:rPr>
          <w:rFonts w:ascii="宋体" w:hAnsi="宋体" w:eastAsia="宋体" w:cs="宋体"/>
        </w:rPr>
        <w:t>响应供应商须承诺遵守相关法律要求，做好安全文明施工工作，如因措施不当造成人身安全或工伤死亡事故，一切责任由响应供应商负责。</w:t>
      </w:r>
    </w:p>
    <w:p>
      <w:pPr>
        <w:widowControl w:val="0"/>
        <w:adjustRightInd w:val="0"/>
        <w:snapToGrid w:val="0"/>
        <w:ind w:firstLine="386" w:firstLineChars="200"/>
        <w:rPr>
          <w:rFonts w:ascii="宋体" w:hAnsi="宋体"/>
          <w:b/>
          <w:bCs/>
          <w:szCs w:val="21"/>
        </w:rPr>
      </w:pPr>
      <w:r>
        <w:rPr>
          <w:rFonts w:hint="eastAsia" w:ascii="宋体" w:hAnsi="宋体"/>
          <w:b/>
          <w:bCs/>
          <w:szCs w:val="21"/>
        </w:rPr>
        <w:t>（九）</w:t>
      </w:r>
      <w:r>
        <w:rPr>
          <w:rFonts w:ascii="宋体" w:hAnsi="宋体"/>
          <w:b/>
          <w:bCs/>
          <w:szCs w:val="21"/>
        </w:rPr>
        <w:t>其他事项</w:t>
      </w:r>
    </w:p>
    <w:p>
      <w:pPr>
        <w:widowControl w:val="0"/>
        <w:adjustRightInd w:val="0"/>
        <w:snapToGrid w:val="0"/>
        <w:ind w:firstLine="386" w:firstLineChars="200"/>
        <w:rPr>
          <w:rFonts w:ascii="宋体" w:hAnsi="宋体"/>
          <w:szCs w:val="21"/>
        </w:rPr>
      </w:pPr>
      <w:r>
        <w:rPr>
          <w:rFonts w:hint="eastAsia" w:ascii="宋体" w:hAnsi="宋体"/>
          <w:szCs w:val="21"/>
        </w:rPr>
        <w:t>1.施工服务队伍资质要得到当地政府管理部门认可，安装人员（特殊工种）要具有劳动部门发出的上岗证。上岗人员（特殊工种）要有相应的上岗证，施工前向采购人递交派出人员名单，严禁使用未成年工和不适应现场安全施工要求的老弱病残人员进行施工。</w:t>
      </w:r>
    </w:p>
    <w:p>
      <w:pPr>
        <w:widowControl w:val="0"/>
        <w:adjustRightInd w:val="0"/>
        <w:snapToGrid w:val="0"/>
        <w:ind w:firstLine="386" w:firstLineChars="200"/>
        <w:rPr>
          <w:rFonts w:ascii="宋体" w:hAnsi="宋体"/>
          <w:szCs w:val="21"/>
        </w:rPr>
      </w:pPr>
      <w:r>
        <w:rPr>
          <w:rFonts w:hint="eastAsia" w:ascii="宋体" w:hAnsi="宋体"/>
          <w:szCs w:val="21"/>
        </w:rPr>
        <w:t>2.在施工期间应严格遵守国家、省、市有关防火、爆破和施工安全以及文明施工、环卫和城管等规定，建立规章制度和防护措施。否则，由此造成的经济和法律责任均由承包人负责。</w:t>
      </w:r>
    </w:p>
    <w:p>
      <w:pPr>
        <w:widowControl w:val="0"/>
        <w:adjustRightInd w:val="0"/>
        <w:snapToGrid w:val="0"/>
        <w:ind w:firstLine="386" w:firstLineChars="200"/>
        <w:rPr>
          <w:rFonts w:ascii="宋体" w:hAnsi="宋体"/>
          <w:szCs w:val="21"/>
        </w:rPr>
      </w:pPr>
      <w:r>
        <w:rPr>
          <w:rFonts w:hint="eastAsia" w:ascii="宋体" w:hAnsi="宋体"/>
          <w:szCs w:val="21"/>
        </w:rPr>
        <w:t>3.承包人应按安全施工的要求，采取严格科学的安全措施，确保施工安全和第三者的安全，承担出于自身安全措施所造成的事故责任和发生的费用。</w:t>
      </w:r>
    </w:p>
    <w:p>
      <w:pPr>
        <w:widowControl w:val="0"/>
        <w:adjustRightInd w:val="0"/>
        <w:snapToGrid w:val="0"/>
        <w:ind w:firstLine="386" w:firstLineChars="200"/>
        <w:rPr>
          <w:rFonts w:ascii="宋体" w:hAnsi="宋体"/>
          <w:szCs w:val="21"/>
        </w:rPr>
      </w:pPr>
      <w:r>
        <w:rPr>
          <w:rFonts w:hint="eastAsia" w:ascii="宋体" w:hAnsi="宋体"/>
          <w:szCs w:val="21"/>
        </w:rPr>
        <w:t>4.施工队伍必须接受现场管理单位的监督、管理和指导。</w:t>
      </w:r>
    </w:p>
    <w:p>
      <w:pPr>
        <w:widowControl w:val="0"/>
        <w:adjustRightInd w:val="0"/>
        <w:snapToGrid w:val="0"/>
        <w:ind w:firstLine="386" w:firstLineChars="200"/>
        <w:rPr>
          <w:rFonts w:ascii="宋体" w:hAnsi="宋体"/>
          <w:szCs w:val="21"/>
        </w:rPr>
      </w:pPr>
      <w:r>
        <w:rPr>
          <w:rFonts w:hint="eastAsia" w:ascii="宋体" w:hAnsi="宋体"/>
          <w:szCs w:val="21"/>
        </w:rPr>
        <w:t>4.1 施工队伍应在采购人确定施工条件已具备后 3 天内与采购人确定开始施工日期。</w:t>
      </w:r>
    </w:p>
    <w:p>
      <w:pPr>
        <w:widowControl w:val="0"/>
        <w:adjustRightInd w:val="0"/>
        <w:snapToGrid w:val="0"/>
        <w:ind w:firstLine="386" w:firstLineChars="200"/>
        <w:rPr>
          <w:rFonts w:ascii="宋体" w:hAnsi="宋体"/>
          <w:szCs w:val="21"/>
        </w:rPr>
      </w:pPr>
      <w:r>
        <w:rPr>
          <w:rFonts w:hint="eastAsia" w:ascii="宋体" w:hAnsi="宋体"/>
          <w:szCs w:val="21"/>
        </w:rPr>
        <w:t>4.2 施工队伍进场所要的现场工作条件及施工中，需要采购人或使用人配合承担的工程由报价人在响应时提出，签署合同时也作为合同的补充附件。</w:t>
      </w:r>
    </w:p>
    <w:p>
      <w:pPr>
        <w:widowControl w:val="0"/>
        <w:adjustRightInd w:val="0"/>
        <w:snapToGrid w:val="0"/>
        <w:ind w:firstLine="386" w:firstLineChars="200"/>
        <w:rPr>
          <w:rFonts w:ascii="宋体" w:hAnsi="宋体"/>
          <w:szCs w:val="21"/>
        </w:rPr>
      </w:pPr>
      <w:r>
        <w:rPr>
          <w:rFonts w:hint="eastAsia" w:ascii="宋体" w:hAnsi="宋体"/>
          <w:szCs w:val="21"/>
        </w:rPr>
        <w:t>4.3 施工所用机械工具由施工队伍自备及自费运到施工工地，进场后进行必要的性能安全检查，完工后从工地自费搬出运走，施工所用的材料及机械工具由用户提供恰当的场所存放并由施工队伍自行保管，不得随便存放，以免造成不必要的丢失、损坏。</w:t>
      </w:r>
    </w:p>
    <w:p>
      <w:pPr>
        <w:widowControl w:val="0"/>
        <w:adjustRightInd w:val="0"/>
        <w:snapToGrid w:val="0"/>
        <w:ind w:firstLine="386" w:firstLineChars="200"/>
        <w:rPr>
          <w:rFonts w:ascii="宋体" w:hAnsi="宋体"/>
          <w:szCs w:val="21"/>
        </w:rPr>
      </w:pPr>
      <w:r>
        <w:rPr>
          <w:rFonts w:hint="eastAsia" w:ascii="宋体" w:hAnsi="宋体"/>
          <w:szCs w:val="21"/>
        </w:rPr>
        <w:t>4.4 在安装过程发现的供货及其质量问题，供货商亦要负责补救处理。</w:t>
      </w:r>
    </w:p>
    <w:p>
      <w:pPr>
        <w:widowControl w:val="0"/>
        <w:adjustRightInd w:val="0"/>
        <w:snapToGrid w:val="0"/>
        <w:ind w:firstLine="386" w:firstLineChars="200"/>
        <w:rPr>
          <w:rFonts w:ascii="宋体" w:hAnsi="宋体"/>
          <w:szCs w:val="21"/>
        </w:rPr>
      </w:pPr>
      <w:r>
        <w:rPr>
          <w:rFonts w:hint="eastAsia" w:ascii="宋体" w:hAnsi="宋体"/>
          <w:szCs w:val="21"/>
        </w:rPr>
        <w:t>4.5 所有验收文件、测试报告、资料复印件要向采购人提交完整的三套，以作留档备案。</w:t>
      </w:r>
    </w:p>
    <w:p>
      <w:pPr>
        <w:widowControl w:val="0"/>
        <w:adjustRightInd w:val="0"/>
        <w:snapToGrid w:val="0"/>
        <w:ind w:firstLine="386" w:firstLineChars="200"/>
        <w:rPr>
          <w:rFonts w:ascii="宋体" w:hAnsi="宋体"/>
          <w:b/>
          <w:bCs/>
          <w:szCs w:val="21"/>
        </w:rPr>
      </w:pPr>
      <w:r>
        <w:rPr>
          <w:rFonts w:hint="eastAsia" w:ascii="宋体" w:hAnsi="宋体"/>
          <w:szCs w:val="21"/>
        </w:rPr>
        <w:t>4.6 竣工验收时，施工单位应向采购人提供有关的技术档案资料一式三份，电子版档案一份。施工单位在本项目的各工程竣工后（以现场监理和发包人签证时间计起），必须在 10天内全面退场，10天内向采购人提供所有竣工文件和质量保证资料。</w:t>
      </w:r>
    </w:p>
    <w:bookmarkEnd w:id="28"/>
    <w:bookmarkEnd w:id="29"/>
    <w:p>
      <w:pPr>
        <w:widowControl w:val="0"/>
        <w:adjustRightInd w:val="0"/>
        <w:snapToGrid w:val="0"/>
        <w:ind w:firstLine="386" w:firstLineChars="200"/>
        <w:rPr>
          <w:rFonts w:ascii="宋体" w:hAnsi="宋体"/>
          <w:b/>
          <w:bCs/>
          <w:szCs w:val="21"/>
        </w:rPr>
      </w:pPr>
      <w:r>
        <w:rPr>
          <w:rFonts w:hint="eastAsia" w:ascii="宋体" w:hAnsi="宋体"/>
          <w:b/>
          <w:bCs/>
          <w:szCs w:val="21"/>
        </w:rPr>
        <w:t>（十）验收要求</w:t>
      </w:r>
    </w:p>
    <w:p>
      <w:pPr>
        <w:widowControl w:val="0"/>
        <w:adjustRightInd w:val="0"/>
        <w:snapToGrid w:val="0"/>
        <w:ind w:firstLine="386" w:firstLineChars="200"/>
        <w:rPr>
          <w:rFonts w:ascii="宋体" w:hAnsi="宋体"/>
          <w:szCs w:val="21"/>
        </w:rPr>
      </w:pPr>
      <w:r>
        <w:rPr>
          <w:rFonts w:hint="eastAsia" w:ascii="宋体" w:hAnsi="宋体"/>
          <w:szCs w:val="21"/>
        </w:rPr>
        <w:t>1.申请竣工验收条件：</w:t>
      </w:r>
    </w:p>
    <w:p>
      <w:pPr>
        <w:widowControl w:val="0"/>
        <w:adjustRightInd w:val="0"/>
        <w:snapToGrid w:val="0"/>
        <w:ind w:firstLine="386" w:firstLineChars="200"/>
        <w:rPr>
          <w:rFonts w:ascii="宋体" w:hAnsi="宋体"/>
          <w:szCs w:val="21"/>
        </w:rPr>
      </w:pPr>
      <w:r>
        <w:rPr>
          <w:rFonts w:hint="eastAsia" w:ascii="宋体" w:hAnsi="宋体"/>
          <w:szCs w:val="21"/>
        </w:rPr>
        <w:t>1.1 合同范围内的全部单位工程以及有关工作，包括合同要求的检验和验收均已完成，并符合合同要求；</w:t>
      </w:r>
    </w:p>
    <w:p>
      <w:pPr>
        <w:widowControl w:val="0"/>
        <w:adjustRightInd w:val="0"/>
        <w:snapToGrid w:val="0"/>
        <w:ind w:firstLine="386" w:firstLineChars="200"/>
        <w:rPr>
          <w:rFonts w:ascii="宋体" w:hAnsi="宋体"/>
          <w:szCs w:val="21"/>
        </w:rPr>
      </w:pPr>
      <w:r>
        <w:rPr>
          <w:rFonts w:hint="eastAsia" w:ascii="宋体" w:hAnsi="宋体"/>
          <w:szCs w:val="21"/>
        </w:rPr>
        <w:t>1.2 已按合同约定的内容和份数备齐了符合要求的竣工资料；承包人需要提交的工程文件套数、费用、质量和移交时间应在专用条款中约定；</w:t>
      </w:r>
    </w:p>
    <w:p>
      <w:pPr>
        <w:widowControl w:val="0"/>
        <w:adjustRightInd w:val="0"/>
        <w:snapToGrid w:val="0"/>
        <w:ind w:firstLine="386" w:firstLineChars="200"/>
        <w:rPr>
          <w:rFonts w:ascii="宋体" w:hAnsi="宋体"/>
          <w:szCs w:val="21"/>
        </w:rPr>
      </w:pPr>
      <w:r>
        <w:rPr>
          <w:rFonts w:hint="eastAsia" w:ascii="宋体" w:hAnsi="宋体"/>
          <w:szCs w:val="21"/>
        </w:rPr>
        <w:t>1.3 发包人要求在竣工验收前完成的其他工作；</w:t>
      </w:r>
    </w:p>
    <w:p>
      <w:pPr>
        <w:widowControl w:val="0"/>
        <w:adjustRightInd w:val="0"/>
        <w:snapToGrid w:val="0"/>
        <w:ind w:firstLine="386" w:firstLineChars="200"/>
        <w:rPr>
          <w:rFonts w:ascii="宋体" w:hAnsi="宋体"/>
          <w:szCs w:val="21"/>
        </w:rPr>
      </w:pPr>
      <w:r>
        <w:rPr>
          <w:rFonts w:hint="eastAsia" w:ascii="宋体" w:hAnsi="宋体"/>
          <w:szCs w:val="21"/>
        </w:rPr>
        <w:t>2.竣工验收程序：</w:t>
      </w:r>
    </w:p>
    <w:p>
      <w:pPr>
        <w:widowControl w:val="0"/>
        <w:adjustRightInd w:val="0"/>
        <w:snapToGrid w:val="0"/>
        <w:ind w:firstLine="386" w:firstLineChars="200"/>
        <w:rPr>
          <w:rFonts w:ascii="宋体" w:hAnsi="宋体"/>
          <w:szCs w:val="21"/>
        </w:rPr>
      </w:pPr>
      <w:r>
        <w:rPr>
          <w:rFonts w:hint="eastAsia" w:ascii="宋体" w:hAnsi="宋体"/>
          <w:szCs w:val="21"/>
        </w:rPr>
        <w:t>2.1 承包人向发包人报送竣工验收申请报告。发包人审查后认为尚不具备验收条件的，应在收到竣工验收申请报告后的5天内通知承包人，指出在颁发接收证书前承包人还需进行的工作内容。承包人完成发包人通知的全部工作内容后，应再次 提交竣工验收申请报告，直至发包人同意为止。</w:t>
      </w:r>
    </w:p>
    <w:p>
      <w:pPr>
        <w:widowControl w:val="0"/>
        <w:adjustRightInd w:val="0"/>
        <w:snapToGrid w:val="0"/>
        <w:ind w:firstLine="386" w:firstLineChars="200"/>
        <w:rPr>
          <w:rFonts w:ascii="宋体" w:hAnsi="宋体"/>
          <w:szCs w:val="21"/>
        </w:rPr>
      </w:pPr>
      <w:r>
        <w:rPr>
          <w:rFonts w:hint="eastAsia" w:ascii="宋体" w:hAnsi="宋体"/>
          <w:szCs w:val="21"/>
        </w:rPr>
        <w:t>2.2 发包人审查后认为已具备竣工验收条件的，应在5天内提请发包人进行工程验收。</w:t>
      </w:r>
    </w:p>
    <w:p>
      <w:pPr>
        <w:widowControl w:val="0"/>
        <w:adjustRightInd w:val="0"/>
        <w:snapToGrid w:val="0"/>
        <w:ind w:firstLine="386" w:firstLineChars="200"/>
        <w:rPr>
          <w:rFonts w:ascii="宋体" w:hAnsi="宋体"/>
          <w:szCs w:val="21"/>
        </w:rPr>
      </w:pPr>
      <w:r>
        <w:rPr>
          <w:rFonts w:hint="eastAsia" w:ascii="宋体" w:hAnsi="宋体"/>
          <w:szCs w:val="21"/>
        </w:rPr>
        <w:t>2.3 发包人组织承包人、勘察设计等相关单位同意竣工验收申请报告后5日内进行竣工验收。</w:t>
      </w:r>
    </w:p>
    <w:p>
      <w:pPr>
        <w:widowControl w:val="0"/>
        <w:adjustRightInd w:val="0"/>
        <w:snapToGrid w:val="0"/>
        <w:ind w:firstLine="386" w:firstLineChars="200"/>
        <w:rPr>
          <w:rFonts w:ascii="宋体" w:hAnsi="宋体"/>
          <w:szCs w:val="21"/>
        </w:rPr>
      </w:pPr>
      <w:r>
        <w:rPr>
          <w:rFonts w:hint="eastAsia" w:ascii="宋体" w:hAnsi="宋体"/>
          <w:szCs w:val="21"/>
        </w:rPr>
        <w:t>2.4 发包人验收后同意接收工程但提出整修和完善要求的，应限期修好，并缓发工程接收证书。整修和完善工作完成后，经发包人同意后，再向承包人出具工程接收证书。</w:t>
      </w:r>
    </w:p>
    <w:p>
      <w:pPr>
        <w:widowControl w:val="0"/>
        <w:adjustRightInd w:val="0"/>
        <w:snapToGrid w:val="0"/>
        <w:ind w:firstLine="386" w:firstLineChars="200"/>
        <w:rPr>
          <w:rFonts w:ascii="宋体" w:hAnsi="宋体"/>
          <w:szCs w:val="21"/>
        </w:rPr>
      </w:pPr>
      <w:r>
        <w:rPr>
          <w:rFonts w:hint="eastAsia" w:ascii="宋体" w:hAnsi="宋体"/>
          <w:szCs w:val="21"/>
        </w:rPr>
        <w:t>2.5 发包人验收后不同意接收工程的，承包人应按照发包人的验收意见，对不合格工程认 真返工重做或进行补救处理，并承担由此产生的费用。承包人在完成不合格工程的返工重做或补救工作后，应重新提交竣工验收申请报告，按本款约定的程序重新进行。</w:t>
      </w:r>
    </w:p>
    <w:p>
      <w:pPr>
        <w:widowControl w:val="0"/>
        <w:adjustRightInd w:val="0"/>
        <w:snapToGrid w:val="0"/>
        <w:ind w:firstLine="386" w:firstLineChars="200"/>
        <w:rPr>
          <w:rFonts w:ascii="宋体" w:hAnsi="宋体"/>
          <w:b/>
          <w:bCs/>
          <w:szCs w:val="21"/>
        </w:rPr>
      </w:pPr>
      <w:r>
        <w:rPr>
          <w:rFonts w:hint="eastAsia" w:ascii="宋体" w:hAnsi="宋体"/>
          <w:b/>
          <w:bCs/>
          <w:szCs w:val="21"/>
        </w:rPr>
        <w:t>（十一）付款方式</w:t>
      </w:r>
    </w:p>
    <w:p>
      <w:pPr>
        <w:widowControl w:val="0"/>
        <w:adjustRightInd w:val="0"/>
        <w:snapToGrid w:val="0"/>
        <w:ind w:firstLine="386" w:firstLineChars="200"/>
        <w:rPr>
          <w:rFonts w:ascii="宋体" w:hAnsi="宋体"/>
          <w:szCs w:val="21"/>
        </w:rPr>
      </w:pPr>
      <w:r>
        <w:rPr>
          <w:rFonts w:hint="eastAsia" w:ascii="宋体" w:hAnsi="宋体"/>
          <w:szCs w:val="21"/>
        </w:rPr>
        <w:t>合同签订后，5个工作日内支付合同总额的20%；在完成工程量达80%时，经工程监理和采购人确认，支付至合同总额的60%；工程施工竣工验收合格后，支付至合同总额的80%；剩余工程款待财政投资审核中心审核出最终结算价后，支付至最终结算价的97%；剩余3%作为质量保证金待质量保修期满后无息返还。</w:t>
      </w:r>
    </w:p>
    <w:p>
      <w:pPr>
        <w:widowControl w:val="0"/>
        <w:adjustRightInd w:val="0"/>
        <w:snapToGrid w:val="0"/>
        <w:ind w:firstLine="386" w:firstLineChars="200"/>
        <w:rPr>
          <w:rFonts w:ascii="宋体" w:hAnsi="宋体"/>
          <w:szCs w:val="21"/>
        </w:rPr>
      </w:pPr>
      <w:r>
        <w:rPr>
          <w:rFonts w:hint="eastAsia" w:ascii="宋体" w:hAnsi="宋体"/>
          <w:szCs w:val="21"/>
        </w:rPr>
        <w:t>因病毒疫情、天气、资金、安全事故、工农关系、国家政策等因素导致工期延长，不再另行支付费用。发包人向相关部门提出支付申请，视为发包人已经履行支付义务，具体支付时间以银行付讫为准。</w:t>
      </w:r>
    </w:p>
    <w:p>
      <w:pPr>
        <w:widowControl w:val="0"/>
        <w:adjustRightInd w:val="0"/>
        <w:snapToGrid w:val="0"/>
        <w:ind w:firstLine="386" w:firstLineChars="200"/>
        <w:rPr>
          <w:rFonts w:ascii="宋体" w:hAnsi="宋体"/>
          <w:b/>
          <w:bCs/>
          <w:szCs w:val="21"/>
        </w:rPr>
      </w:pPr>
      <w:r>
        <w:rPr>
          <w:rFonts w:hint="eastAsia" w:ascii="宋体" w:hAnsi="宋体"/>
          <w:b/>
          <w:bCs/>
          <w:szCs w:val="21"/>
        </w:rPr>
        <w:t>（十二）其他要求</w:t>
      </w:r>
    </w:p>
    <w:p>
      <w:pPr>
        <w:widowControl w:val="0"/>
        <w:adjustRightInd w:val="0"/>
        <w:snapToGrid w:val="0"/>
        <w:ind w:firstLine="386" w:firstLineChars="200"/>
        <w:rPr>
          <w:rFonts w:ascii="宋体" w:hAnsi="宋体"/>
          <w:szCs w:val="21"/>
        </w:rPr>
      </w:pPr>
      <w:r>
        <w:rPr>
          <w:rFonts w:hint="eastAsia" w:ascii="宋体" w:hAnsi="宋体"/>
          <w:szCs w:val="21"/>
        </w:rPr>
        <w:t>1．成交供应商所提供的资料须属实，如发现虚假资料，采购人有权单方面终止合同，工程项目将另行处理，由此而造成的经济损失由成交供应商负责赔偿。</w:t>
      </w:r>
    </w:p>
    <w:p>
      <w:pPr>
        <w:widowControl w:val="0"/>
        <w:adjustRightInd w:val="0"/>
        <w:snapToGrid w:val="0"/>
        <w:ind w:firstLine="386" w:firstLineChars="200"/>
        <w:rPr>
          <w:rFonts w:ascii="宋体" w:hAnsi="宋体"/>
          <w:szCs w:val="21"/>
        </w:rPr>
      </w:pPr>
      <w:r>
        <w:rPr>
          <w:rFonts w:hint="eastAsia" w:ascii="宋体" w:hAnsi="宋体"/>
          <w:szCs w:val="21"/>
        </w:rPr>
        <w:t>2．成交供应商在施工过程中，如遇到需与外部相关的单位协调的问题时，应自行解决，采购人只负责协助。</w:t>
      </w:r>
    </w:p>
    <w:p>
      <w:pPr>
        <w:widowControl w:val="0"/>
        <w:adjustRightInd w:val="0"/>
        <w:snapToGrid w:val="0"/>
        <w:ind w:firstLine="386" w:firstLineChars="200"/>
        <w:rPr>
          <w:rFonts w:ascii="宋体" w:hAnsi="宋体"/>
          <w:sz w:val="24"/>
        </w:rPr>
      </w:pPr>
      <w:r>
        <w:rPr>
          <w:rFonts w:hint="eastAsia" w:ascii="宋体" w:hAnsi="宋体"/>
          <w:szCs w:val="21"/>
        </w:rPr>
        <w:t>3．成交供应商须协助采购人办理施工报建等有关手续。</w:t>
      </w:r>
      <w:r>
        <w:rPr>
          <w:rFonts w:ascii="宋体" w:hAnsi="宋体"/>
        </w:rPr>
        <w:br w:type="page"/>
      </w:r>
    </w:p>
    <w:bookmarkEnd w:id="24"/>
    <w:p>
      <w:pPr>
        <w:pStyle w:val="4"/>
        <w:rPr>
          <w:rFonts w:ascii="宋体" w:hAnsi="宋体"/>
        </w:rPr>
      </w:pPr>
      <w:bookmarkStart w:id="30" w:name="_Toc104040687"/>
      <w:bookmarkStart w:id="31" w:name="_Toc103216635"/>
      <w:bookmarkStart w:id="32" w:name="_Toc114516595"/>
      <w:bookmarkStart w:id="33" w:name="_Toc101122291"/>
      <w:bookmarkStart w:id="34" w:name="_Toc103033203"/>
      <w:r>
        <w:rPr>
          <w:rFonts w:hint="eastAsia" w:ascii="宋体" w:hAnsi="宋体"/>
        </w:rPr>
        <w:t>第三章供应商须知</w:t>
      </w:r>
      <w:bookmarkEnd w:id="30"/>
      <w:bookmarkEnd w:id="31"/>
      <w:bookmarkEnd w:id="32"/>
      <w:bookmarkEnd w:id="33"/>
      <w:bookmarkEnd w:id="34"/>
    </w:p>
    <w:p>
      <w:pPr>
        <w:pStyle w:val="21"/>
        <w:ind w:firstLine="386" w:firstLineChars="200"/>
        <w:rPr>
          <w:rFonts w:ascii="宋体" w:hAnsi="宋体"/>
          <w:szCs w:val="20"/>
        </w:rPr>
      </w:pPr>
      <w:r>
        <w:rPr>
          <w:rFonts w:hint="eastAsia" w:ascii="宋体" w:hAnsi="宋体"/>
          <w:szCs w:val="20"/>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5"/>
        <w:numPr>
          <w:ilvl w:val="0"/>
          <w:numId w:val="5"/>
        </w:numPr>
        <w:spacing w:before="120" w:after="120"/>
        <w:ind w:left="0" w:firstLine="0"/>
        <w:rPr>
          <w:rFonts w:ascii="宋体" w:hAnsi="宋体"/>
          <w:sz w:val="21"/>
          <w:szCs w:val="21"/>
        </w:rPr>
      </w:pPr>
      <w:bookmarkStart w:id="35" w:name="_Toc104040688"/>
      <w:r>
        <w:rPr>
          <w:rFonts w:hint="eastAsia" w:ascii="宋体" w:hAnsi="宋体"/>
          <w:sz w:val="21"/>
          <w:szCs w:val="21"/>
        </w:rPr>
        <w:t>名词解释</w:t>
      </w:r>
      <w:bookmarkEnd w:id="35"/>
    </w:p>
    <w:p>
      <w:pPr>
        <w:pStyle w:val="364"/>
        <w:ind w:left="0" w:firstLine="382" w:firstLineChars="200"/>
        <w:rPr>
          <w:spacing w:val="-1"/>
          <w:sz w:val="21"/>
          <w:szCs w:val="21"/>
        </w:rPr>
      </w:pPr>
      <w:r>
        <w:rPr>
          <w:rFonts w:hint="eastAsia"/>
          <w:spacing w:val="-1"/>
          <w:sz w:val="21"/>
          <w:szCs w:val="21"/>
        </w:rPr>
        <w:t>1.采购代理机构：本项目是指广东达禾工程管理有限公司，负责整个采购活动的组织，依法负责编制和发布磋商文件，对磋商文件拥有最终的解释权，不以任何身份出任磋商小组成员。</w:t>
      </w:r>
    </w:p>
    <w:p>
      <w:pPr>
        <w:pStyle w:val="364"/>
        <w:ind w:left="0" w:firstLine="382" w:firstLineChars="200"/>
        <w:rPr>
          <w:spacing w:val="-1"/>
          <w:sz w:val="21"/>
          <w:szCs w:val="21"/>
        </w:rPr>
      </w:pPr>
      <w:r>
        <w:rPr>
          <w:rFonts w:hint="eastAsia"/>
          <w:spacing w:val="-1"/>
          <w:sz w:val="21"/>
          <w:szCs w:val="21"/>
        </w:rPr>
        <w:t>2.采购人、采购单位：本项目采购人详见采购公告，是采购活动当事人之一，负责项目的整体规划、技术方案可行性设计论证与实施，作为合同采购方（用户）的主体承担质疑回复、履行合同、验收与评价等义务。</w:t>
      </w:r>
    </w:p>
    <w:p>
      <w:pPr>
        <w:pStyle w:val="364"/>
        <w:ind w:left="0" w:firstLine="382" w:firstLineChars="200"/>
        <w:rPr>
          <w:spacing w:val="-1"/>
          <w:sz w:val="21"/>
          <w:szCs w:val="21"/>
        </w:rPr>
      </w:pPr>
      <w:r>
        <w:rPr>
          <w:rFonts w:hint="eastAsia"/>
          <w:spacing w:val="-1"/>
          <w:sz w:val="21"/>
          <w:szCs w:val="21"/>
        </w:rPr>
        <w:t>3.供应商：</w:t>
      </w:r>
      <w:bookmarkStart w:id="36" w:name="_Hlk112005196"/>
      <w:r>
        <w:rPr>
          <w:rFonts w:hint="eastAsia"/>
          <w:spacing w:val="-1"/>
          <w:sz w:val="21"/>
          <w:szCs w:val="21"/>
        </w:rPr>
        <w:t>是指通过报名获取了采购文件，并提交响应文件的供应商</w:t>
      </w:r>
      <w:bookmarkEnd w:id="36"/>
      <w:r>
        <w:rPr>
          <w:rFonts w:hint="eastAsia"/>
          <w:spacing w:val="-1"/>
          <w:sz w:val="21"/>
          <w:szCs w:val="21"/>
        </w:rPr>
        <w:t>。</w:t>
      </w:r>
    </w:p>
    <w:p>
      <w:pPr>
        <w:pStyle w:val="364"/>
        <w:ind w:left="0" w:firstLine="382" w:firstLineChars="200"/>
        <w:rPr>
          <w:spacing w:val="-1"/>
          <w:sz w:val="21"/>
          <w:szCs w:val="21"/>
        </w:rPr>
      </w:pPr>
      <w:r>
        <w:rPr>
          <w:rFonts w:hint="eastAsia"/>
          <w:spacing w:val="-1"/>
          <w:sz w:val="21"/>
          <w:szCs w:val="21"/>
        </w:rPr>
        <w:t>4.“磋商小组”是指参照《中华人民共和国政府采购法》等法律法规规定，由采购人代表和有关专家组成以确定成交供应商或者推荐成交候选供应商的临时组织。</w:t>
      </w:r>
    </w:p>
    <w:p>
      <w:pPr>
        <w:pStyle w:val="364"/>
        <w:ind w:left="0" w:firstLine="382" w:firstLineChars="200"/>
        <w:rPr>
          <w:spacing w:val="-1"/>
          <w:sz w:val="21"/>
          <w:szCs w:val="21"/>
        </w:rPr>
      </w:pPr>
      <w:r>
        <w:rPr>
          <w:rFonts w:hint="eastAsia"/>
          <w:spacing w:val="-1"/>
          <w:sz w:val="21"/>
          <w:szCs w:val="21"/>
        </w:rPr>
        <w:t>5.“成交供应商”是指经磋商小组评审确定的对磋商文件做出实质性响应，经采购人按照规定在磋商小组推荐的成交候选供应商中确定的或磋商小组受采购人委托直接确认的供应商。采购文件中所表述“中标人”、“成交人”、“承包人”、“施工单位”均指成交供应商。</w:t>
      </w:r>
    </w:p>
    <w:p>
      <w:pPr>
        <w:pStyle w:val="364"/>
        <w:ind w:left="0" w:firstLine="382" w:firstLineChars="200"/>
        <w:rPr>
          <w:spacing w:val="-1"/>
          <w:sz w:val="21"/>
          <w:szCs w:val="21"/>
        </w:rPr>
      </w:pPr>
      <w:r>
        <w:rPr>
          <w:rFonts w:hint="eastAsia"/>
          <w:spacing w:val="-1"/>
          <w:sz w:val="21"/>
          <w:szCs w:val="21"/>
        </w:rPr>
        <w:t>6.磋商文件：是指包括磋商公告和磋商文件及其补充、变更和澄清等一系列文件。</w:t>
      </w:r>
    </w:p>
    <w:p>
      <w:pPr>
        <w:pStyle w:val="364"/>
        <w:ind w:left="0" w:firstLine="382" w:firstLineChars="200"/>
        <w:rPr>
          <w:spacing w:val="-1"/>
          <w:sz w:val="21"/>
          <w:szCs w:val="21"/>
        </w:rPr>
      </w:pPr>
      <w:r>
        <w:rPr>
          <w:rFonts w:hint="eastAsia"/>
          <w:spacing w:val="-1"/>
          <w:sz w:val="21"/>
          <w:szCs w:val="21"/>
        </w:rPr>
        <w:t>7.</w:t>
      </w:r>
      <w:bookmarkStart w:id="37" w:name="_Hlk112005222"/>
      <w:r>
        <w:rPr>
          <w:rFonts w:hint="eastAsia"/>
          <w:spacing w:val="-1"/>
          <w:sz w:val="21"/>
          <w:szCs w:val="21"/>
        </w:rPr>
        <w:t>响应文件：是指供应商提交的响应文件</w:t>
      </w:r>
      <w:bookmarkEnd w:id="37"/>
      <w:r>
        <w:rPr>
          <w:rFonts w:hint="eastAsia"/>
          <w:spacing w:val="-1"/>
          <w:sz w:val="21"/>
          <w:szCs w:val="21"/>
        </w:rPr>
        <w:t>。</w:t>
      </w:r>
    </w:p>
    <w:p>
      <w:pPr>
        <w:pStyle w:val="364"/>
        <w:ind w:left="0" w:firstLine="382" w:firstLineChars="200"/>
        <w:rPr>
          <w:spacing w:val="-1"/>
          <w:sz w:val="21"/>
          <w:szCs w:val="21"/>
        </w:rPr>
      </w:pPr>
      <w:r>
        <w:rPr>
          <w:rFonts w:hint="eastAsia"/>
          <w:spacing w:val="-1"/>
          <w:sz w:val="21"/>
          <w:szCs w:val="21"/>
        </w:rPr>
        <w:t>8.“全称”、“公司全称”、“投标人/供应商名称”、“加盖单位公章”、“加盖公章”及“公章”：在投标（响应）文件及相关的其他资料中，涉及“全称”或“公司全称”或“投标人/供应商名称”的应在对应文件编辑时使用文本录入方式，或在纸质投标（响应）文件上进行填写，或直接盖单位公章；涉及“加盖单位公章”、“加盖公章”和“公章”应使用投标人单位的公章进行盖章。</w:t>
      </w:r>
    </w:p>
    <w:p>
      <w:pPr>
        <w:pStyle w:val="364"/>
        <w:ind w:left="0" w:firstLine="382" w:firstLineChars="200"/>
        <w:rPr>
          <w:spacing w:val="-1"/>
          <w:sz w:val="21"/>
          <w:szCs w:val="21"/>
        </w:rPr>
      </w:pPr>
      <w:r>
        <w:rPr>
          <w:rFonts w:hint="eastAsia"/>
          <w:spacing w:val="-1"/>
          <w:sz w:val="21"/>
          <w:szCs w:val="21"/>
        </w:rPr>
        <w:t>9.</w:t>
      </w:r>
      <w:bookmarkStart w:id="38" w:name="_Hlk112005261"/>
      <w:r>
        <w:rPr>
          <w:rFonts w:hint="eastAsia"/>
          <w:spacing w:val="-1"/>
          <w:sz w:val="21"/>
          <w:szCs w:val="21"/>
        </w:rPr>
        <w:t>“供应商代表签字”及“授权代表”：在响应文件及相关的其他资料中，涉及“供应商代表签字”或“授权代表”应在纸质响应文件上进行手写签名或加盖个人印章</w:t>
      </w:r>
      <w:bookmarkEnd w:id="38"/>
      <w:r>
        <w:rPr>
          <w:rFonts w:hint="eastAsia"/>
          <w:spacing w:val="-1"/>
          <w:sz w:val="21"/>
          <w:szCs w:val="21"/>
        </w:rPr>
        <w:t>。</w:t>
      </w:r>
    </w:p>
    <w:p>
      <w:pPr>
        <w:pStyle w:val="364"/>
        <w:ind w:left="0" w:firstLine="382" w:firstLineChars="200"/>
        <w:rPr>
          <w:spacing w:val="-1"/>
          <w:sz w:val="21"/>
          <w:szCs w:val="21"/>
        </w:rPr>
      </w:pPr>
      <w:r>
        <w:rPr>
          <w:rFonts w:hint="eastAsia"/>
          <w:spacing w:val="-1"/>
          <w:sz w:val="21"/>
          <w:szCs w:val="21"/>
        </w:rPr>
        <w:t>10.“法定代表人”：</w:t>
      </w:r>
      <w:bookmarkStart w:id="39" w:name="_Hlk112005269"/>
      <w:r>
        <w:rPr>
          <w:rFonts w:hint="eastAsia"/>
          <w:spacing w:val="-1"/>
          <w:sz w:val="21"/>
          <w:szCs w:val="21"/>
        </w:rPr>
        <w:t>在响应文件及相关的其他资料中，涉及“法定代表人”应在纸质响应文件上进行手写签名或加盖个人印章</w:t>
      </w:r>
      <w:bookmarkEnd w:id="39"/>
      <w:r>
        <w:rPr>
          <w:rFonts w:hint="eastAsia"/>
          <w:spacing w:val="-1"/>
          <w:sz w:val="21"/>
          <w:szCs w:val="21"/>
        </w:rPr>
        <w:t>。</w:t>
      </w:r>
    </w:p>
    <w:p>
      <w:pPr>
        <w:pStyle w:val="364"/>
        <w:ind w:left="0" w:firstLine="382" w:firstLineChars="200"/>
        <w:rPr>
          <w:spacing w:val="-1"/>
          <w:sz w:val="21"/>
          <w:szCs w:val="21"/>
        </w:rPr>
      </w:pPr>
      <w:r>
        <w:rPr>
          <w:rFonts w:hint="eastAsia"/>
          <w:spacing w:val="-1"/>
          <w:sz w:val="21"/>
          <w:szCs w:val="21"/>
        </w:rPr>
        <w:t>11.日期、天数、时间：未有特别说明时，均为公历日（天）及北京时间。</w:t>
      </w:r>
    </w:p>
    <w:p>
      <w:pPr>
        <w:pStyle w:val="364"/>
        <w:ind w:left="420" w:firstLine="0"/>
        <w:rPr>
          <w:sz w:val="21"/>
          <w:szCs w:val="21"/>
        </w:rPr>
      </w:pPr>
    </w:p>
    <w:p>
      <w:pPr>
        <w:pStyle w:val="5"/>
        <w:numPr>
          <w:ilvl w:val="0"/>
          <w:numId w:val="5"/>
        </w:numPr>
        <w:spacing w:before="120" w:after="120"/>
        <w:ind w:left="0" w:firstLine="0"/>
        <w:rPr>
          <w:rFonts w:ascii="宋体" w:hAnsi="宋体"/>
          <w:sz w:val="21"/>
          <w:szCs w:val="21"/>
        </w:rPr>
      </w:pPr>
      <w:bookmarkStart w:id="40" w:name="_Toc104040689"/>
      <w:r>
        <w:rPr>
          <w:rFonts w:hint="eastAsia" w:ascii="宋体" w:hAnsi="宋体"/>
          <w:sz w:val="21"/>
          <w:szCs w:val="21"/>
        </w:rPr>
        <w:t>须知前附表</w:t>
      </w:r>
      <w:bookmarkEnd w:id="40"/>
    </w:p>
    <w:tbl>
      <w:tblPr>
        <w:tblStyle w:val="5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3"/>
        <w:gridCol w:w="1514"/>
        <w:gridCol w:w="7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gridSpan w:val="3"/>
            <w:vAlign w:val="center"/>
          </w:tcPr>
          <w:p>
            <w:pPr>
              <w:pStyle w:val="21"/>
              <w:spacing w:beforeLines="50" w:afterLines="50" w:line="240" w:lineRule="auto"/>
              <w:jc w:val="center"/>
              <w:rPr>
                <w:rFonts w:ascii="宋体" w:hAnsi="宋体"/>
                <w:b/>
                <w:bCs/>
                <w:szCs w:val="21"/>
              </w:rPr>
            </w:pPr>
            <w:r>
              <w:rPr>
                <w:rFonts w:hint="eastAsia" w:ascii="宋体" w:hAnsi="宋体"/>
                <w:b/>
                <w:bCs/>
                <w:szCs w:val="21"/>
              </w:rPr>
              <w:t>本表与磋商文件对应章节的内容若不一致，以本表为准。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pStyle w:val="21"/>
              <w:spacing w:line="240" w:lineRule="auto"/>
              <w:ind w:left="-102" w:leftChars="-53" w:right="-94" w:rightChars="-49"/>
              <w:jc w:val="center"/>
              <w:rPr>
                <w:rFonts w:ascii="宋体" w:hAnsi="宋体"/>
                <w:b/>
                <w:bCs/>
                <w:szCs w:val="21"/>
              </w:rPr>
            </w:pPr>
            <w:r>
              <w:rPr>
                <w:rFonts w:hint="eastAsia" w:ascii="宋体" w:hAnsi="宋体"/>
                <w:b/>
                <w:bCs/>
                <w:szCs w:val="21"/>
              </w:rPr>
              <w:t>序号</w:t>
            </w:r>
          </w:p>
        </w:tc>
        <w:tc>
          <w:tcPr>
            <w:tcW w:w="1547" w:type="dxa"/>
            <w:vAlign w:val="center"/>
          </w:tcPr>
          <w:p>
            <w:pPr>
              <w:pStyle w:val="21"/>
              <w:spacing w:line="240" w:lineRule="auto"/>
              <w:jc w:val="center"/>
              <w:rPr>
                <w:rFonts w:ascii="宋体" w:hAnsi="宋体"/>
                <w:b/>
                <w:bCs/>
                <w:szCs w:val="21"/>
              </w:rPr>
            </w:pPr>
            <w:r>
              <w:rPr>
                <w:rFonts w:hint="eastAsia" w:ascii="宋体" w:hAnsi="宋体"/>
                <w:b/>
                <w:bCs/>
                <w:szCs w:val="21"/>
              </w:rPr>
              <w:t>条款名称</w:t>
            </w:r>
          </w:p>
        </w:tc>
        <w:tc>
          <w:tcPr>
            <w:tcW w:w="7161" w:type="dxa"/>
            <w:vAlign w:val="center"/>
          </w:tcPr>
          <w:p>
            <w:pPr>
              <w:pStyle w:val="21"/>
              <w:spacing w:beforeLines="50" w:afterLines="50" w:line="240" w:lineRule="auto"/>
              <w:jc w:val="center"/>
              <w:rPr>
                <w:rFonts w:ascii="宋体" w:hAnsi="宋体"/>
                <w:b/>
                <w:bCs/>
                <w:szCs w:val="21"/>
              </w:rPr>
            </w:pPr>
            <w:r>
              <w:rPr>
                <w:rFonts w:hint="eastAsia" w:ascii="宋体" w:hAnsi="宋体"/>
                <w:b/>
                <w:bCs/>
                <w:szCs w:val="21"/>
              </w:rPr>
              <w:t>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b/>
                <w:bCs/>
                <w:szCs w:val="21"/>
              </w:rPr>
            </w:pPr>
            <w:r>
              <w:rPr>
                <w:rFonts w:hint="eastAsia" w:ascii="宋体" w:hAnsi="宋体"/>
                <w:szCs w:val="21"/>
              </w:rPr>
              <w:t>采购包情况</w:t>
            </w:r>
          </w:p>
        </w:tc>
        <w:tc>
          <w:tcPr>
            <w:tcW w:w="7161" w:type="dxa"/>
            <w:vAlign w:val="center"/>
          </w:tcPr>
          <w:p>
            <w:pPr>
              <w:pStyle w:val="21"/>
              <w:spacing w:beforeLines="50" w:afterLines="50" w:line="240" w:lineRule="auto"/>
              <w:rPr>
                <w:rFonts w:ascii="宋体" w:hAnsi="宋体"/>
                <w:b/>
                <w:bCs/>
                <w:szCs w:val="21"/>
              </w:rPr>
            </w:pPr>
            <w:r>
              <w:rPr>
                <w:rFonts w:hint="eastAsia" w:ascii="宋体" w:hAnsi="宋体"/>
                <w:szCs w:val="21"/>
              </w:rPr>
              <w:t>本项目共1个采购包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公告发布媒介</w:t>
            </w:r>
          </w:p>
        </w:tc>
        <w:tc>
          <w:tcPr>
            <w:tcW w:w="7161" w:type="dxa"/>
            <w:vAlign w:val="center"/>
          </w:tcPr>
          <w:p>
            <w:pPr>
              <w:rPr>
                <w:rFonts w:ascii="宋体" w:hAnsi="宋体"/>
                <w:szCs w:val="21"/>
              </w:rPr>
            </w:pPr>
            <w:r>
              <w:rPr>
                <w:rFonts w:ascii="宋体" w:hAnsi="宋体"/>
                <w:szCs w:val="21"/>
              </w:rPr>
              <w:t>■</w:t>
            </w:r>
            <w:r>
              <w:rPr>
                <w:rFonts w:hint="eastAsia" w:ascii="宋体" w:hAnsi="宋体"/>
                <w:szCs w:val="21"/>
              </w:rPr>
              <w:t>广东达禾工程管理有限公司（</w:t>
            </w:r>
            <w:r>
              <w:rPr>
                <w:rFonts w:ascii="宋体" w:hAnsi="宋体"/>
                <w:szCs w:val="21"/>
              </w:rPr>
              <w:t>http://www.gddhzb.cn/</w:t>
            </w:r>
            <w:r>
              <w:rPr>
                <w:rFonts w:hint="eastAsia" w:ascii="宋体" w:hAnsi="宋体"/>
                <w:szCs w:val="21"/>
              </w:rPr>
              <w:t>）</w:t>
            </w:r>
          </w:p>
          <w:p>
            <w:pPr>
              <w:widowControl w:val="0"/>
              <w:autoSpaceDE w:val="0"/>
              <w:autoSpaceDN w:val="0"/>
              <w:rPr>
                <w:rFonts w:ascii="宋体" w:hAnsi="宋体"/>
                <w:szCs w:val="21"/>
              </w:rPr>
            </w:pPr>
            <w:r>
              <w:rPr>
                <w:rFonts w:hint="eastAsia" w:ascii="宋体" w:hAnsi="宋体"/>
                <w:szCs w:val="21"/>
              </w:rPr>
              <w:t>相关公告在以上媒体上公布之日即视为有效送达，不再另行通知。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开启方式</w:t>
            </w:r>
          </w:p>
        </w:tc>
        <w:tc>
          <w:tcPr>
            <w:tcW w:w="7161" w:type="dxa"/>
            <w:vAlign w:val="center"/>
          </w:tcPr>
          <w:p>
            <w:pPr>
              <w:pStyle w:val="21"/>
              <w:spacing w:beforeLines="50" w:afterLines="50" w:line="240" w:lineRule="auto"/>
              <w:rPr>
                <w:rFonts w:ascii="宋体" w:hAnsi="宋体"/>
                <w:szCs w:val="21"/>
              </w:rPr>
            </w:pPr>
            <w:r>
              <w:rPr>
                <w:rFonts w:hint="eastAsia" w:ascii="宋体" w:hAnsi="宋体"/>
                <w:szCs w:val="21"/>
              </w:rPr>
              <w:t>现场开启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评审方式</w:t>
            </w:r>
          </w:p>
        </w:tc>
        <w:tc>
          <w:tcPr>
            <w:tcW w:w="7161" w:type="dxa"/>
            <w:vAlign w:val="center"/>
          </w:tcPr>
          <w:p>
            <w:pPr>
              <w:pStyle w:val="21"/>
              <w:spacing w:beforeLines="50" w:afterLines="50" w:line="240" w:lineRule="auto"/>
              <w:rPr>
                <w:rFonts w:ascii="宋体" w:hAnsi="宋体"/>
                <w:szCs w:val="21"/>
              </w:rPr>
            </w:pPr>
            <w:r>
              <w:rPr>
                <w:rFonts w:hint="eastAsia" w:ascii="宋体" w:hAnsi="宋体"/>
                <w:szCs w:val="21"/>
              </w:rPr>
              <w:t>现场评审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评审办法</w:t>
            </w:r>
          </w:p>
        </w:tc>
        <w:tc>
          <w:tcPr>
            <w:tcW w:w="7161" w:type="dxa"/>
            <w:vAlign w:val="center"/>
          </w:tcPr>
          <w:p>
            <w:pPr>
              <w:pStyle w:val="21"/>
              <w:spacing w:beforeLines="50" w:afterLines="50" w:line="240" w:lineRule="auto"/>
              <w:rPr>
                <w:rFonts w:ascii="宋体" w:hAnsi="宋体"/>
                <w:szCs w:val="21"/>
              </w:rPr>
            </w:pPr>
            <w:r>
              <w:rPr>
                <w:rFonts w:hint="eastAsia" w:ascii="宋体" w:hAnsi="宋体"/>
                <w:szCs w:val="21"/>
              </w:rPr>
              <w:t>■综合评分法 / □最低评标价法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报价形式</w:t>
            </w:r>
          </w:p>
        </w:tc>
        <w:tc>
          <w:tcPr>
            <w:tcW w:w="7161" w:type="dxa"/>
            <w:vAlign w:val="center"/>
          </w:tcPr>
          <w:p>
            <w:pPr>
              <w:pStyle w:val="21"/>
              <w:spacing w:beforeLines="50" w:afterLines="50" w:line="240" w:lineRule="auto"/>
              <w:rPr>
                <w:rFonts w:ascii="宋体" w:hAnsi="宋体"/>
                <w:szCs w:val="21"/>
              </w:rPr>
            </w:pPr>
            <w:r>
              <w:rPr>
                <w:rFonts w:ascii="宋体" w:hAnsi="宋体"/>
                <w:szCs w:val="21"/>
              </w:rPr>
              <w:t>■</w:t>
            </w:r>
            <w:r>
              <w:rPr>
                <w:rFonts w:hint="eastAsia" w:ascii="宋体" w:hAnsi="宋体"/>
                <w:szCs w:val="21"/>
              </w:rPr>
              <w:t>总价 /</w:t>
            </w:r>
            <w:r>
              <w:rPr>
                <w:rFonts w:ascii="宋体" w:hAnsi="宋体"/>
                <w:szCs w:val="21"/>
              </w:rPr>
              <w:t xml:space="preserve"> □</w:t>
            </w:r>
            <w:r>
              <w:rPr>
                <w:rFonts w:hint="eastAsia" w:ascii="宋体" w:hAnsi="宋体"/>
                <w:szCs w:val="21"/>
              </w:rPr>
              <w:t>折扣率 /</w:t>
            </w:r>
            <w:r>
              <w:rPr>
                <w:rFonts w:ascii="宋体" w:hAnsi="宋体"/>
                <w:szCs w:val="21"/>
              </w:rPr>
              <w:t xml:space="preserve"> □</w:t>
            </w:r>
            <w:r>
              <w:rPr>
                <w:rFonts w:hint="eastAsia" w:ascii="宋体" w:hAnsi="宋体"/>
                <w:szCs w:val="21"/>
              </w:rPr>
              <w:t>下浮率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trPr>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报价要求</w:t>
            </w:r>
          </w:p>
        </w:tc>
        <w:tc>
          <w:tcPr>
            <w:tcW w:w="7161" w:type="dxa"/>
            <w:vAlign w:val="center"/>
          </w:tcPr>
          <w:p>
            <w:pPr>
              <w:pStyle w:val="21"/>
              <w:rPr>
                <w:rFonts w:ascii="宋体" w:hAnsi="宋体"/>
                <w:szCs w:val="21"/>
              </w:rPr>
            </w:pPr>
            <w:r>
              <w:rPr>
                <w:rFonts w:hint="eastAsia" w:ascii="宋体" w:hAnsi="宋体"/>
                <w:szCs w:val="21"/>
              </w:rPr>
              <w:t>1.本项目以人民币进行报价，报价需包括但不限于完成合同约定所需的人工费、差旅（交通、住宿）费、餐费、专家费、保险、税金、管理费、利润、税金、采购代理服务费以及所有需要向第三方支付的版权费、专利费等在内的所有费用。</w:t>
            </w:r>
            <w:r>
              <w:rPr>
                <w:rFonts w:hint="eastAsia" w:ascii="宋体" w:hAnsi="宋体"/>
                <w:b/>
                <w:bCs/>
                <w:szCs w:val="21"/>
              </w:rPr>
              <w:t>供应商漏报或不报，采购人将视为该漏报或不报部分的费用已包括在已报的报价中而不予支付。</w:t>
            </w:r>
          </w:p>
          <w:p>
            <w:pPr>
              <w:widowControl w:val="0"/>
              <w:adjustRightInd w:val="0"/>
              <w:snapToGrid w:val="0"/>
              <w:rPr>
                <w:rFonts w:ascii="宋体" w:hAnsi="宋体"/>
                <w:szCs w:val="21"/>
              </w:rPr>
            </w:pPr>
            <w:r>
              <w:rPr>
                <w:rFonts w:hint="eastAsia" w:ascii="宋体" w:hAnsi="宋体"/>
                <w:szCs w:val="21"/>
              </w:rPr>
              <w:t>2.供应商应充分考虑施工期间各类可调材料的市场价格变化和可能的国家政策性调整，确定风险系数，对工程施工图纸及工程量清单所包含的所有内容及本磋商文件涉及到的范围进行总承包报价。</w:t>
            </w:r>
          </w:p>
          <w:p>
            <w:pPr>
              <w:widowControl w:val="0"/>
              <w:rPr>
                <w:rFonts w:ascii="宋体" w:hAnsi="宋体"/>
                <w:b/>
                <w:bCs/>
                <w:szCs w:val="21"/>
              </w:rPr>
            </w:pPr>
            <w:r>
              <w:rPr>
                <w:rFonts w:hint="eastAsia" w:ascii="宋体" w:hAnsi="宋体"/>
                <w:b/>
                <w:bCs/>
                <w:szCs w:val="21"/>
              </w:rPr>
              <w:t>3</w:t>
            </w:r>
            <w:r>
              <w:rPr>
                <w:rFonts w:ascii="宋体" w:hAnsi="宋体"/>
                <w:b/>
                <w:bCs/>
                <w:szCs w:val="21"/>
              </w:rPr>
              <w:t>.</w:t>
            </w:r>
            <w:r>
              <w:rPr>
                <w:rFonts w:hint="eastAsia" w:ascii="宋体" w:hAnsi="宋体"/>
                <w:b/>
                <w:bCs/>
                <w:szCs w:val="21"/>
              </w:rPr>
              <w:t>本项目的投标报价不得高于预算金额的96%（即人民币3,482,848.6176元）。</w:t>
            </w:r>
            <w:r>
              <w:rPr>
                <w:rFonts w:ascii="Times New Roman" w:hAnsi="Times New Roman"/>
                <w:szCs w:val="21"/>
              </w:rPr>
              <w:t>暂估价、暂列金额和绿色施工安全防护措施费不参与竞争，所有</w:t>
            </w:r>
            <w:r>
              <w:rPr>
                <w:rFonts w:hint="eastAsia" w:ascii="宋体" w:hAnsi="宋体"/>
                <w:szCs w:val="21"/>
              </w:rPr>
              <w:t>供应商</w:t>
            </w:r>
            <w:r>
              <w:rPr>
                <w:rFonts w:ascii="Times New Roman" w:hAnsi="Times New Roman"/>
                <w:szCs w:val="21"/>
              </w:rPr>
              <w:t>必须按</w:t>
            </w:r>
            <w:r>
              <w:rPr>
                <w:rFonts w:hint="eastAsia" w:ascii="宋体" w:hAnsi="宋体"/>
                <w:szCs w:val="21"/>
              </w:rPr>
              <w:t>工程量清单公布的</w:t>
            </w:r>
            <w:r>
              <w:rPr>
                <w:rFonts w:ascii="Times New Roman" w:hAnsi="Times New Roman"/>
                <w:szCs w:val="21"/>
              </w:rPr>
              <w:t>暂列金额、暂估价</w:t>
            </w:r>
            <w:r>
              <w:rPr>
                <w:rFonts w:hint="eastAsia" w:ascii="Times New Roman" w:hAnsi="Times New Roman"/>
                <w:szCs w:val="21"/>
              </w:rPr>
              <w:t>和</w:t>
            </w:r>
            <w:r>
              <w:rPr>
                <w:rFonts w:ascii="Times New Roman" w:hAnsi="Times New Roman"/>
                <w:szCs w:val="21"/>
              </w:rPr>
              <w:t>绿色施工安全防护措施费</w:t>
            </w:r>
            <w:r>
              <w:rPr>
                <w:rFonts w:hint="eastAsia" w:ascii="Times New Roman" w:hAnsi="Times New Roman"/>
                <w:szCs w:val="21"/>
              </w:rPr>
              <w:t>进行</w:t>
            </w:r>
            <w:r>
              <w:rPr>
                <w:rFonts w:ascii="Times New Roman" w:hAnsi="Times New Roman"/>
                <w:szCs w:val="21"/>
              </w:rPr>
              <w:t>报价，暂估价结算时按实调整，暂列金额按实际发生结算。（若</w:t>
            </w:r>
            <w:r>
              <w:rPr>
                <w:rFonts w:hint="eastAsia" w:ascii="Times New Roman" w:hAnsi="Times New Roman"/>
                <w:szCs w:val="21"/>
              </w:rPr>
              <w:t>供应商</w:t>
            </w:r>
            <w:r>
              <w:rPr>
                <w:rFonts w:ascii="Times New Roman" w:hAnsi="Times New Roman"/>
                <w:szCs w:val="21"/>
              </w:rPr>
              <w:t>所投报价中暂估价、暂列金额、绿色施工安全防护措施费与磋商文件中所列相关费用不一致的，则作为</w:t>
            </w:r>
            <w:r>
              <w:rPr>
                <w:rFonts w:hint="eastAsia" w:ascii="宋体" w:hAnsi="宋体"/>
                <w:szCs w:val="21"/>
              </w:rPr>
              <w:t>无效响应处理</w:t>
            </w:r>
            <w:r>
              <w:rPr>
                <w:rFonts w:ascii="Times New Roman" w:hAnsi="Times New Roman"/>
                <w:szCs w:val="21"/>
              </w:rPr>
              <w:t>）</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核心产品</w:t>
            </w:r>
          </w:p>
        </w:tc>
        <w:tc>
          <w:tcPr>
            <w:tcW w:w="7161" w:type="dxa"/>
            <w:vAlign w:val="center"/>
          </w:tcPr>
          <w:p>
            <w:pPr>
              <w:pStyle w:val="21"/>
              <w:spacing w:beforeLines="50" w:afterLines="50" w:line="240" w:lineRule="auto"/>
              <w:rPr>
                <w:rFonts w:ascii="宋体" w:hAnsi="宋体"/>
                <w:szCs w:val="21"/>
              </w:rPr>
            </w:pPr>
            <w:r>
              <w:rPr>
                <w:rFonts w:ascii="宋体" w:hAnsi="宋体"/>
                <w:szCs w:val="21"/>
              </w:rPr>
              <w:t>■</w:t>
            </w:r>
            <w:r>
              <w:rPr>
                <w:rFonts w:hint="eastAsia" w:ascii="宋体" w:hAnsi="宋体"/>
                <w:szCs w:val="21"/>
              </w:rPr>
              <w:t xml:space="preserve">本项目不涉及 </w:t>
            </w:r>
            <w:r>
              <w:rPr>
                <w:rFonts w:ascii="宋体" w:hAnsi="宋体"/>
                <w:szCs w:val="21"/>
              </w:rPr>
              <w:t xml:space="preserve">/ </w:t>
            </w:r>
            <w:r>
              <w:rPr>
                <w:rFonts w:ascii="宋体" w:hAnsi="宋体"/>
                <w:szCs w:val="21"/>
              </w:rPr>
              <w:sym w:font="Wingdings 2" w:char="00A3"/>
            </w:r>
            <w:r>
              <w:rPr>
                <w:rFonts w:hint="eastAsia" w:ascii="宋体" w:hAnsi="宋体"/>
                <w:szCs w:val="21"/>
              </w:rPr>
              <w:t>核心产品：-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现场踏勘</w:t>
            </w:r>
          </w:p>
        </w:tc>
        <w:tc>
          <w:tcPr>
            <w:tcW w:w="7161" w:type="dxa"/>
            <w:vAlign w:val="center"/>
          </w:tcPr>
          <w:p>
            <w:pPr>
              <w:rPr>
                <w:rFonts w:ascii="宋体" w:hAnsi="宋体"/>
                <w:szCs w:val="21"/>
              </w:rPr>
            </w:pPr>
            <w:r>
              <w:rPr>
                <w:rFonts w:ascii="宋体" w:hAnsi="宋体"/>
                <w:szCs w:val="21"/>
              </w:rPr>
              <w:t>■</w:t>
            </w:r>
            <w:r>
              <w:rPr>
                <w:rFonts w:hint="eastAsia" w:ascii="宋体" w:hAnsi="宋体"/>
                <w:szCs w:val="21"/>
              </w:rPr>
              <w:t>否 /</w:t>
            </w:r>
            <w:r>
              <w:rPr>
                <w:rFonts w:ascii="宋体" w:hAnsi="宋体"/>
                <w:szCs w:val="21"/>
              </w:rPr>
              <w:t xml:space="preserve"> □</w:t>
            </w:r>
            <w:r>
              <w:rPr>
                <w:rFonts w:hint="eastAsia" w:ascii="宋体" w:hAnsi="宋体"/>
                <w:szCs w:val="21"/>
              </w:rPr>
              <w:t>是，踏勘详细要求：</w:t>
            </w:r>
          </w:p>
          <w:p>
            <w:pPr>
              <w:rPr>
                <w:rFonts w:ascii="宋体" w:hAnsi="宋体"/>
                <w:szCs w:val="21"/>
              </w:rPr>
            </w:pPr>
            <w:r>
              <w:rPr>
                <w:rFonts w:hint="eastAsia" w:ascii="宋体" w:hAnsi="宋体"/>
                <w:szCs w:val="21"/>
              </w:rPr>
              <w:t>时间：</w:t>
            </w:r>
            <w:r>
              <w:rPr>
                <w:rFonts w:ascii="宋体" w:hAnsi="宋体"/>
                <w:szCs w:val="21"/>
              </w:rPr>
              <w:t>/</w:t>
            </w:r>
          </w:p>
          <w:p>
            <w:pPr>
              <w:rPr>
                <w:rFonts w:ascii="宋体" w:hAnsi="宋体"/>
                <w:szCs w:val="21"/>
              </w:rPr>
            </w:pPr>
            <w:r>
              <w:rPr>
                <w:rFonts w:hint="eastAsia" w:ascii="宋体" w:hAnsi="宋体"/>
                <w:szCs w:val="21"/>
              </w:rPr>
              <w:t>地点：</w:t>
            </w:r>
            <w:r>
              <w:rPr>
                <w:rFonts w:ascii="宋体" w:hAnsi="宋体"/>
                <w:szCs w:val="21"/>
              </w:rPr>
              <w:t>/</w:t>
            </w:r>
          </w:p>
          <w:p>
            <w:pPr>
              <w:rPr>
                <w:rFonts w:ascii="宋体" w:hAnsi="宋体"/>
                <w:szCs w:val="21"/>
              </w:rPr>
            </w:pPr>
            <w:r>
              <w:rPr>
                <w:rFonts w:hint="eastAsia" w:ascii="宋体" w:hAnsi="宋体"/>
                <w:szCs w:val="21"/>
              </w:rPr>
              <w:t>联系人：</w:t>
            </w:r>
            <w:r>
              <w:rPr>
                <w:rFonts w:ascii="宋体" w:hAnsi="宋体"/>
                <w:szCs w:val="21"/>
              </w:rPr>
              <w:t>/</w:t>
            </w:r>
          </w:p>
          <w:p>
            <w:pPr>
              <w:pStyle w:val="21"/>
              <w:rPr>
                <w:rFonts w:ascii="宋体" w:hAnsi="宋体"/>
                <w:szCs w:val="21"/>
              </w:rPr>
            </w:pPr>
            <w:r>
              <w:rPr>
                <w:rFonts w:hint="eastAsia" w:ascii="宋体" w:hAnsi="宋体"/>
                <w:szCs w:val="21"/>
              </w:rPr>
              <w:t>说明：</w:t>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响应有效期</w:t>
            </w:r>
          </w:p>
        </w:tc>
        <w:tc>
          <w:tcPr>
            <w:tcW w:w="7161" w:type="dxa"/>
            <w:vAlign w:val="center"/>
          </w:tcPr>
          <w:p>
            <w:pPr>
              <w:pStyle w:val="21"/>
              <w:spacing w:beforeLines="50" w:afterLines="50" w:line="240" w:lineRule="auto"/>
              <w:rPr>
                <w:rFonts w:ascii="宋体" w:hAnsi="宋体"/>
                <w:szCs w:val="21"/>
              </w:rPr>
            </w:pPr>
            <w:r>
              <w:rPr>
                <w:rFonts w:hint="eastAsia" w:ascii="宋体" w:hAnsi="宋体"/>
                <w:szCs w:val="21"/>
              </w:rPr>
              <w:t>从提交投标（响应）文件的截止之日起90日历天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响应保证金</w:t>
            </w:r>
          </w:p>
        </w:tc>
        <w:tc>
          <w:tcPr>
            <w:tcW w:w="7161" w:type="dxa"/>
          </w:tcPr>
          <w:p>
            <w:pPr>
              <w:rPr>
                <w:rFonts w:ascii="宋体" w:hAnsi="宋体"/>
                <w:szCs w:val="21"/>
              </w:rPr>
            </w:pPr>
            <w:r>
              <w:rPr>
                <w:rFonts w:ascii="宋体" w:hAnsi="宋体"/>
                <w:szCs w:val="21"/>
              </w:rPr>
              <w:t>■</w:t>
            </w:r>
            <w:r>
              <w:rPr>
                <w:rFonts w:hint="eastAsia" w:ascii="宋体" w:hAnsi="宋体"/>
                <w:szCs w:val="21"/>
              </w:rPr>
              <w:t>本项目无需递交响应保证金</w:t>
            </w:r>
          </w:p>
          <w:p>
            <w:pPr>
              <w:rPr>
                <w:rFonts w:ascii="宋体" w:hAnsi="宋体"/>
                <w:szCs w:val="21"/>
              </w:rPr>
            </w:pPr>
            <w:r>
              <w:rPr>
                <w:rFonts w:ascii="宋体" w:hAnsi="宋体"/>
                <w:szCs w:val="21"/>
              </w:rPr>
              <w:t>□</w:t>
            </w:r>
            <w:r>
              <w:rPr>
                <w:rFonts w:hint="eastAsia" w:ascii="宋体" w:hAnsi="宋体"/>
                <w:szCs w:val="21"/>
              </w:rPr>
              <w:t>本项目需要递交响应保证金，要求如下：</w:t>
            </w:r>
          </w:p>
          <w:p>
            <w:pPr>
              <w:rPr>
                <w:rFonts w:ascii="宋体" w:hAnsi="宋体"/>
                <w:szCs w:val="21"/>
              </w:rPr>
            </w:pPr>
            <w:r>
              <w:rPr>
                <w:rFonts w:hint="eastAsia" w:ascii="宋体" w:hAnsi="宋体"/>
                <w:szCs w:val="21"/>
              </w:rPr>
              <w:t>保证金人民币：</w:t>
            </w:r>
            <w:r>
              <w:rPr>
                <w:rFonts w:ascii="宋体" w:hAnsi="宋体"/>
                <w:szCs w:val="21"/>
              </w:rPr>
              <w:t>0.00元整</w:t>
            </w:r>
          </w:p>
          <w:p>
            <w:pPr>
              <w:rPr>
                <w:rFonts w:ascii="宋体" w:hAnsi="宋体"/>
                <w:szCs w:val="21"/>
              </w:rPr>
            </w:pPr>
            <w:r>
              <w:rPr>
                <w:rFonts w:hint="eastAsia" w:ascii="宋体" w:hAnsi="宋体"/>
                <w:szCs w:val="21"/>
              </w:rPr>
              <w:t>开户单位：广东达禾工程管理有限公司</w:t>
            </w:r>
          </w:p>
          <w:p>
            <w:pPr>
              <w:rPr>
                <w:rFonts w:ascii="宋体" w:hAnsi="宋体"/>
                <w:szCs w:val="21"/>
              </w:rPr>
            </w:pPr>
            <w:r>
              <w:rPr>
                <w:rFonts w:hint="eastAsia" w:ascii="宋体" w:hAnsi="宋体"/>
                <w:szCs w:val="21"/>
              </w:rPr>
              <w:t>开户账号：/</w:t>
            </w:r>
          </w:p>
          <w:p>
            <w:pPr>
              <w:rPr>
                <w:rFonts w:ascii="宋体" w:hAnsi="宋体"/>
                <w:szCs w:val="21"/>
              </w:rPr>
            </w:pPr>
            <w:r>
              <w:rPr>
                <w:rFonts w:hint="eastAsia" w:ascii="宋体" w:hAnsi="宋体"/>
                <w:szCs w:val="21"/>
              </w:rPr>
              <w:t>开户银行：/</w:t>
            </w:r>
          </w:p>
          <w:p>
            <w:pPr>
              <w:rPr>
                <w:rFonts w:ascii="宋体" w:hAnsi="宋体"/>
                <w:szCs w:val="21"/>
              </w:rPr>
            </w:pPr>
            <w:r>
              <w:rPr>
                <w:rFonts w:hint="eastAsia" w:ascii="宋体" w:hAnsi="宋体"/>
                <w:szCs w:val="21"/>
              </w:rPr>
              <w:t>提交方式：转账、支票、汇票、本票、保函等非现金形式</w:t>
            </w:r>
          </w:p>
          <w:p>
            <w:pPr>
              <w:rPr>
                <w:rFonts w:ascii="宋体" w:hAnsi="宋体"/>
                <w:szCs w:val="21"/>
              </w:rPr>
            </w:pPr>
            <w:r>
              <w:rPr>
                <w:rFonts w:hint="eastAsia" w:ascii="宋体" w:hAnsi="宋体"/>
                <w:szCs w:val="21"/>
              </w:rPr>
              <w:t>投标保证金有效期：与响应有效期一致</w:t>
            </w:r>
          </w:p>
          <w:p>
            <w:pPr>
              <w:pStyle w:val="21"/>
              <w:rPr>
                <w:rFonts w:ascii="宋体" w:hAnsi="宋体"/>
                <w:szCs w:val="21"/>
              </w:rPr>
            </w:pPr>
            <w:r>
              <w:rPr>
                <w:rFonts w:hint="eastAsia" w:ascii="宋体" w:hAnsi="宋体"/>
                <w:szCs w:val="21"/>
              </w:rPr>
              <w:t>纸质保函：通过金融机构、专业担保机构开具的纸质保函，须密封递交原件。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成交候选供应商推荐家数</w:t>
            </w:r>
          </w:p>
        </w:tc>
        <w:tc>
          <w:tcPr>
            <w:tcW w:w="7161" w:type="dxa"/>
            <w:vAlign w:val="center"/>
          </w:tcPr>
          <w:p>
            <w:pPr>
              <w:pStyle w:val="21"/>
              <w:spacing w:beforeLines="50" w:afterLines="50" w:line="240" w:lineRule="auto"/>
              <w:rPr>
                <w:rFonts w:ascii="宋体" w:hAnsi="宋体"/>
                <w:szCs w:val="21"/>
              </w:rPr>
            </w:pPr>
            <w:r>
              <w:rPr>
                <w:rFonts w:hint="eastAsia" w:ascii="宋体" w:hAnsi="宋体"/>
                <w:szCs w:val="21"/>
              </w:rPr>
              <w:t>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成交供应商</w:t>
            </w:r>
          </w:p>
          <w:p>
            <w:pPr>
              <w:pStyle w:val="21"/>
              <w:spacing w:line="240" w:lineRule="auto"/>
              <w:jc w:val="center"/>
              <w:rPr>
                <w:rFonts w:ascii="宋体" w:hAnsi="宋体"/>
                <w:szCs w:val="21"/>
              </w:rPr>
            </w:pPr>
            <w:r>
              <w:rPr>
                <w:rFonts w:hint="eastAsia" w:ascii="宋体" w:hAnsi="宋体"/>
                <w:szCs w:val="21"/>
              </w:rPr>
              <w:t>家数</w:t>
            </w:r>
          </w:p>
        </w:tc>
        <w:tc>
          <w:tcPr>
            <w:tcW w:w="7161" w:type="dxa"/>
            <w:vAlign w:val="center"/>
          </w:tcPr>
          <w:p>
            <w:pPr>
              <w:pStyle w:val="21"/>
              <w:spacing w:beforeLines="50" w:afterLines="50" w:line="240" w:lineRule="auto"/>
              <w:rPr>
                <w:rFonts w:ascii="宋体" w:hAnsi="宋体"/>
                <w:szCs w:val="21"/>
              </w:rPr>
            </w:pPr>
            <w:r>
              <w:rPr>
                <w:rFonts w:hint="eastAsia" w:ascii="宋体" w:hAnsi="宋体"/>
                <w:szCs w:val="21"/>
              </w:rPr>
              <w:t>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有效供应商</w:t>
            </w:r>
          </w:p>
          <w:p>
            <w:pPr>
              <w:pStyle w:val="21"/>
              <w:spacing w:line="240" w:lineRule="auto"/>
              <w:jc w:val="center"/>
              <w:rPr>
                <w:rFonts w:ascii="宋体" w:hAnsi="宋体"/>
                <w:szCs w:val="21"/>
              </w:rPr>
            </w:pPr>
            <w:r>
              <w:rPr>
                <w:rFonts w:hint="eastAsia" w:ascii="宋体" w:hAnsi="宋体"/>
                <w:szCs w:val="21"/>
              </w:rPr>
              <w:t>家数</w:t>
            </w:r>
          </w:p>
        </w:tc>
        <w:tc>
          <w:tcPr>
            <w:tcW w:w="7161" w:type="dxa"/>
            <w:vAlign w:val="center"/>
          </w:tcPr>
          <w:p>
            <w:pPr>
              <w:pStyle w:val="21"/>
              <w:spacing w:beforeLines="50" w:afterLines="50"/>
              <w:rPr>
                <w:rFonts w:ascii="宋体" w:hAnsi="宋体"/>
                <w:szCs w:val="21"/>
              </w:rPr>
            </w:pPr>
            <w:r>
              <w:rPr>
                <w:rFonts w:hint="eastAsia" w:ascii="宋体" w:hAnsi="宋体" w:cs="宋体"/>
                <w:kern w:val="0"/>
                <w:szCs w:val="21"/>
              </w:rPr>
              <w:t>3家。此人数约定了开启与评审过程中的最低有效供应商家数，当家数不足时项目将不得开启、不得评审或直接终止采购。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项目兼投兼中（兼投不兼中）规则</w:t>
            </w:r>
          </w:p>
        </w:tc>
        <w:tc>
          <w:tcPr>
            <w:tcW w:w="7161" w:type="dxa"/>
            <w:vAlign w:val="center"/>
          </w:tcPr>
          <w:p>
            <w:pPr>
              <w:pStyle w:val="21"/>
              <w:spacing w:beforeLines="50" w:afterLines="50" w:line="240" w:lineRule="auto"/>
              <w:rPr>
                <w:rFonts w:ascii="宋体" w:hAnsi="宋体"/>
                <w:szCs w:val="21"/>
              </w:rPr>
            </w:pPr>
            <w:r>
              <w:rPr>
                <w:rFonts w:hint="eastAsia" w:ascii="宋体" w:hAnsi="宋体"/>
                <w:szCs w:val="21"/>
              </w:rPr>
              <w:t>本项目不涉及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成交供应商确定方式</w:t>
            </w:r>
          </w:p>
        </w:tc>
        <w:tc>
          <w:tcPr>
            <w:tcW w:w="7161" w:type="dxa"/>
            <w:vAlign w:val="center"/>
          </w:tcPr>
          <w:p>
            <w:pPr>
              <w:pStyle w:val="21"/>
              <w:rPr>
                <w:rFonts w:ascii="宋体" w:hAnsi="宋体"/>
                <w:szCs w:val="21"/>
              </w:rPr>
            </w:pPr>
            <w:r>
              <w:rPr>
                <w:rFonts w:ascii="宋体" w:hAnsi="宋体"/>
                <w:szCs w:val="21"/>
              </w:rPr>
              <w:t>■</w:t>
            </w:r>
            <w:r>
              <w:rPr>
                <w:rFonts w:hint="eastAsia" w:ascii="宋体" w:hAnsi="宋体"/>
                <w:szCs w:val="21"/>
              </w:rPr>
              <w:t>采购人按照评标报告中推荐的中标候选人确定中标人。</w:t>
            </w:r>
          </w:p>
          <w:p>
            <w:pPr>
              <w:pStyle w:val="21"/>
              <w:rPr>
                <w:rFonts w:ascii="宋体" w:hAnsi="宋体"/>
                <w:szCs w:val="21"/>
              </w:rPr>
            </w:pPr>
            <w:r>
              <w:rPr>
                <w:rFonts w:ascii="宋体" w:hAnsi="宋体"/>
                <w:szCs w:val="21"/>
              </w:rPr>
              <w:t>□</w:t>
            </w:r>
            <w:r>
              <w:rPr>
                <w:rFonts w:hint="eastAsia" w:ascii="宋体" w:hAnsi="宋体"/>
                <w:szCs w:val="21"/>
              </w:rPr>
              <w:t>采购人授权评标委员会按照评审原则直接确定中标人。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代理服务费</w:t>
            </w:r>
          </w:p>
        </w:tc>
        <w:tc>
          <w:tcPr>
            <w:tcW w:w="7161" w:type="dxa"/>
            <w:vAlign w:val="center"/>
          </w:tcPr>
          <w:p>
            <w:pPr>
              <w:pStyle w:val="21"/>
              <w:kinsoku w:val="0"/>
              <w:overflowPunct w:val="0"/>
              <w:spacing w:beforeLines="50" w:afterLines="50" w:line="240" w:lineRule="auto"/>
              <w:jc w:val="left"/>
            </w:pPr>
            <w:r>
              <w:rPr>
                <w:rFonts w:hint="eastAsia" w:ascii="宋体" w:hAnsi="宋体" w:cs="宋体"/>
              </w:rPr>
              <w:t>按国家计委[计价格[2002]1980号]文件及广东省物价局[粤价[2002]386号]文件的规定进行收取</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代理服务费</w:t>
            </w:r>
          </w:p>
          <w:p>
            <w:pPr>
              <w:pStyle w:val="21"/>
              <w:spacing w:line="240" w:lineRule="auto"/>
              <w:jc w:val="center"/>
              <w:rPr>
                <w:rFonts w:ascii="宋体" w:hAnsi="宋体"/>
                <w:szCs w:val="21"/>
              </w:rPr>
            </w:pPr>
            <w:r>
              <w:rPr>
                <w:rFonts w:hint="eastAsia" w:ascii="宋体" w:hAnsi="宋体"/>
                <w:szCs w:val="21"/>
              </w:rPr>
              <w:t>收取方式</w:t>
            </w:r>
          </w:p>
        </w:tc>
        <w:tc>
          <w:tcPr>
            <w:tcW w:w="7161" w:type="dxa"/>
            <w:vAlign w:val="center"/>
          </w:tcPr>
          <w:p>
            <w:pPr>
              <w:pStyle w:val="21"/>
              <w:spacing w:beforeLines="50" w:afterLines="50" w:line="240" w:lineRule="auto"/>
              <w:rPr>
                <w:rFonts w:ascii="宋体" w:hAnsi="宋体"/>
                <w:szCs w:val="21"/>
              </w:rPr>
            </w:pPr>
            <w:r>
              <w:rPr>
                <w:rFonts w:hint="eastAsia" w:ascii="宋体" w:hAnsi="宋体"/>
                <w:szCs w:val="21"/>
              </w:rPr>
              <w:t>向成交供应商收取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响应文件数量和要求</w:t>
            </w:r>
          </w:p>
        </w:tc>
        <w:tc>
          <w:tcPr>
            <w:tcW w:w="7161" w:type="dxa"/>
          </w:tcPr>
          <w:p>
            <w:pPr>
              <w:rPr>
                <w:rFonts w:ascii="宋体" w:hAnsi="宋体"/>
                <w:szCs w:val="21"/>
              </w:rPr>
            </w:pPr>
            <w:r>
              <w:rPr>
                <w:rFonts w:hint="eastAsia" w:ascii="宋体" w:hAnsi="宋体"/>
                <w:b/>
                <w:bCs/>
                <w:szCs w:val="21"/>
              </w:rPr>
              <w:t>1</w:t>
            </w:r>
            <w:r>
              <w:rPr>
                <w:rFonts w:ascii="宋体" w:hAnsi="宋体"/>
                <w:b/>
                <w:bCs/>
                <w:szCs w:val="21"/>
              </w:rPr>
              <w:t>.</w:t>
            </w:r>
            <w:r>
              <w:rPr>
                <w:rFonts w:hint="eastAsia" w:ascii="宋体" w:hAnsi="宋体"/>
                <w:b/>
                <w:bCs/>
                <w:szCs w:val="21"/>
              </w:rPr>
              <w:t>正本1份，副本</w:t>
            </w:r>
            <w:r>
              <w:rPr>
                <w:rFonts w:ascii="宋体" w:hAnsi="宋体"/>
                <w:b/>
                <w:bCs/>
                <w:szCs w:val="21"/>
              </w:rPr>
              <w:t>2</w:t>
            </w:r>
            <w:r>
              <w:rPr>
                <w:rFonts w:hint="eastAsia" w:ascii="宋体" w:hAnsi="宋体"/>
                <w:b/>
                <w:bCs/>
                <w:szCs w:val="21"/>
              </w:rPr>
              <w:t>份，首轮报价表信封1份，电子文件1份。</w:t>
            </w:r>
            <w:r>
              <w:rPr>
                <w:rFonts w:hint="eastAsia" w:ascii="宋体" w:hAnsi="宋体"/>
                <w:szCs w:val="21"/>
              </w:rPr>
              <w:t>正本与副本不一致时，以正本为准。</w:t>
            </w:r>
          </w:p>
          <w:p>
            <w:pPr>
              <w:rPr>
                <w:rFonts w:ascii="宋体" w:hAnsi="宋体"/>
                <w:szCs w:val="21"/>
              </w:rPr>
            </w:pPr>
            <w:r>
              <w:rPr>
                <w:rFonts w:ascii="宋体" w:hAnsi="宋体"/>
                <w:szCs w:val="21"/>
              </w:rPr>
              <w:t>2.</w:t>
            </w:r>
            <w:r>
              <w:rPr>
                <w:rFonts w:hint="eastAsia" w:ascii="宋体" w:hAnsi="宋体"/>
                <w:szCs w:val="21"/>
              </w:rPr>
              <w:t>电子文件：电子版为正本的盖章扫描版，应包含纸质响应文件全部内容，以</w:t>
            </w:r>
            <w:r>
              <w:rPr>
                <w:rFonts w:ascii="宋体" w:hAnsi="宋体"/>
                <w:szCs w:val="21"/>
              </w:rPr>
              <w:t>U盘或者光盘形式存储</w:t>
            </w:r>
            <w:r>
              <w:rPr>
                <w:rFonts w:hint="eastAsia" w:ascii="宋体" w:hAnsi="宋体"/>
                <w:szCs w:val="21"/>
              </w:rPr>
              <w:t>；</w:t>
            </w:r>
            <w:r>
              <w:rPr>
                <w:rFonts w:ascii="宋体" w:hAnsi="宋体"/>
                <w:szCs w:val="21"/>
              </w:rPr>
              <w:t>电子</w:t>
            </w:r>
            <w:r>
              <w:rPr>
                <w:rFonts w:hint="eastAsia" w:ascii="宋体" w:hAnsi="宋体"/>
                <w:szCs w:val="21"/>
              </w:rPr>
              <w:t>文件</w:t>
            </w:r>
            <w:r>
              <w:rPr>
                <w:rFonts w:ascii="宋体" w:hAnsi="宋体"/>
                <w:szCs w:val="21"/>
              </w:rPr>
              <w:t>中应</w:t>
            </w:r>
            <w:r>
              <w:rPr>
                <w:rFonts w:hint="eastAsia" w:ascii="宋体" w:hAnsi="宋体"/>
                <w:szCs w:val="21"/>
              </w:rPr>
              <w:t>包含</w:t>
            </w:r>
            <w:r>
              <w:rPr>
                <w:rFonts w:ascii="宋体" w:hAnsi="宋体"/>
                <w:szCs w:val="21"/>
              </w:rPr>
              <w:t>Word</w:t>
            </w:r>
            <w:r>
              <w:rPr>
                <w:rFonts w:hint="eastAsia" w:ascii="宋体" w:hAnsi="宋体"/>
                <w:szCs w:val="21"/>
              </w:rPr>
              <w:t>、Excel</w:t>
            </w:r>
            <w:r>
              <w:rPr>
                <w:rFonts w:ascii="宋体" w:hAnsi="宋体"/>
                <w:szCs w:val="21"/>
              </w:rPr>
              <w:t>等可编辑</w:t>
            </w:r>
            <w:r>
              <w:rPr>
                <w:rFonts w:hint="eastAsia" w:ascii="宋体" w:hAnsi="宋体"/>
                <w:szCs w:val="21"/>
              </w:rPr>
              <w:t>文档和签字盖章版的P</w:t>
            </w:r>
            <w:r>
              <w:rPr>
                <w:rFonts w:ascii="宋体" w:hAnsi="宋体"/>
                <w:szCs w:val="21"/>
              </w:rPr>
              <w:t>DF</w:t>
            </w:r>
            <w:r>
              <w:rPr>
                <w:rFonts w:hint="eastAsia" w:ascii="宋体" w:hAnsi="宋体"/>
                <w:szCs w:val="21"/>
              </w:rPr>
              <w:t>扫描件；响应</w:t>
            </w:r>
            <w:r>
              <w:rPr>
                <w:rFonts w:ascii="宋体" w:hAnsi="宋体"/>
                <w:szCs w:val="21"/>
              </w:rPr>
              <w:t>文件</w:t>
            </w:r>
            <w:r>
              <w:rPr>
                <w:rFonts w:hint="eastAsia" w:ascii="宋体" w:hAnsi="宋体"/>
                <w:szCs w:val="21"/>
              </w:rPr>
              <w:t>包括</w:t>
            </w:r>
            <w:r>
              <w:rPr>
                <w:rFonts w:ascii="宋体" w:hAnsi="宋体"/>
                <w:szCs w:val="21"/>
              </w:rPr>
              <w:t>的其他电子文档</w:t>
            </w:r>
            <w:r>
              <w:rPr>
                <w:rFonts w:hint="eastAsia" w:ascii="宋体" w:hAnsi="宋体"/>
                <w:szCs w:val="21"/>
              </w:rPr>
              <w:t>（如视频等）</w:t>
            </w:r>
            <w:r>
              <w:rPr>
                <w:rFonts w:ascii="宋体" w:hAnsi="宋体"/>
                <w:szCs w:val="21"/>
              </w:rPr>
              <w:t>也应包含在内；若有分项报价</w:t>
            </w:r>
            <w:r>
              <w:rPr>
                <w:rFonts w:hint="eastAsia" w:ascii="宋体" w:hAnsi="宋体"/>
                <w:szCs w:val="21"/>
              </w:rPr>
              <w:t>表的</w:t>
            </w:r>
            <w:r>
              <w:rPr>
                <w:rFonts w:ascii="宋体" w:hAnsi="宋体"/>
                <w:szCs w:val="21"/>
              </w:rPr>
              <w:t>，</w:t>
            </w:r>
            <w:r>
              <w:rPr>
                <w:rFonts w:hint="eastAsia" w:ascii="宋体" w:hAnsi="宋体"/>
                <w:szCs w:val="21"/>
              </w:rPr>
              <w:t>需提供</w:t>
            </w:r>
            <w:r>
              <w:rPr>
                <w:rFonts w:ascii="宋体" w:hAnsi="宋体"/>
                <w:szCs w:val="21"/>
              </w:rPr>
              <w:t>E</w:t>
            </w:r>
            <w:r>
              <w:rPr>
                <w:rFonts w:hint="eastAsia" w:ascii="宋体" w:hAnsi="宋体"/>
                <w:szCs w:val="21"/>
              </w:rPr>
              <w:t>xcel版本</w:t>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响应文件密封要求</w:t>
            </w:r>
          </w:p>
        </w:tc>
        <w:tc>
          <w:tcPr>
            <w:tcW w:w="7161" w:type="dxa"/>
            <w:vAlign w:val="center"/>
          </w:tcPr>
          <w:p>
            <w:pPr>
              <w:pStyle w:val="21"/>
              <w:rPr>
                <w:rFonts w:ascii="宋体" w:hAnsi="宋体"/>
                <w:szCs w:val="21"/>
              </w:rPr>
            </w:pPr>
            <w:r>
              <w:rPr>
                <w:rFonts w:hint="eastAsia" w:ascii="宋体" w:hAnsi="宋体"/>
                <w:szCs w:val="21"/>
              </w:rPr>
              <w:t>1.响应文件正本与副本可以单独密封包装，也可以所有响应文件密封包装在一个密封袋内，密封袋的封口处应粘贴处理。</w:t>
            </w:r>
          </w:p>
          <w:p>
            <w:pPr>
              <w:pStyle w:val="21"/>
            </w:pPr>
            <w:r>
              <w:rPr>
                <w:rFonts w:hint="eastAsia" w:ascii="宋体" w:hAnsi="宋体"/>
                <w:szCs w:val="21"/>
              </w:rPr>
              <w:t>2.供应商应将《首轮报价表》、《分项报价表》（如有）和《法定代表人授权书》单独密封提交，并在信封上清晰标明“报价信封”字样。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9" w:hRule="atLeast"/>
        </w:trPr>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合同签订</w:t>
            </w:r>
          </w:p>
        </w:tc>
        <w:tc>
          <w:tcPr>
            <w:tcW w:w="7161" w:type="dxa"/>
            <w:vAlign w:val="center"/>
          </w:tcPr>
          <w:p>
            <w:pPr>
              <w:pStyle w:val="21"/>
              <w:rPr>
                <w:rFonts w:ascii="宋体" w:hAnsi="宋体"/>
                <w:szCs w:val="21"/>
              </w:rPr>
            </w:pPr>
            <w:r>
              <w:rPr>
                <w:rFonts w:hint="eastAsia" w:ascii="宋体" w:hAnsi="宋体"/>
                <w:szCs w:val="21"/>
              </w:rPr>
              <w:t>本采购文件提供的合同文本仅供参考，具体条款内容由采购人和成交供应商协商确定，但不得对采购文件和响应文件的实质性条款作出变更，且必须包括采购人与成交人的名称和住所、标的、数量、质量、价款或者报酬、履行期限及地址和方式、验收要求、违约责任、解决争议的方法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4" w:type="dxa"/>
            <w:vAlign w:val="center"/>
          </w:tcPr>
          <w:p>
            <w:pPr>
              <w:pStyle w:val="21"/>
              <w:numPr>
                <w:ilvl w:val="0"/>
                <w:numId w:val="6"/>
              </w:numPr>
              <w:spacing w:line="240" w:lineRule="auto"/>
              <w:ind w:left="0" w:firstLine="0"/>
              <w:jc w:val="center"/>
              <w:rPr>
                <w:rFonts w:ascii="宋体" w:hAnsi="宋体"/>
                <w:szCs w:val="21"/>
              </w:rPr>
            </w:pPr>
          </w:p>
        </w:tc>
        <w:tc>
          <w:tcPr>
            <w:tcW w:w="1547" w:type="dxa"/>
            <w:vAlign w:val="center"/>
          </w:tcPr>
          <w:p>
            <w:pPr>
              <w:pStyle w:val="21"/>
              <w:spacing w:line="240" w:lineRule="auto"/>
              <w:jc w:val="center"/>
              <w:rPr>
                <w:rFonts w:ascii="宋体" w:hAnsi="宋体"/>
                <w:szCs w:val="21"/>
              </w:rPr>
            </w:pPr>
            <w:r>
              <w:rPr>
                <w:rFonts w:hint="eastAsia" w:ascii="宋体" w:hAnsi="宋体"/>
                <w:szCs w:val="21"/>
              </w:rPr>
              <w:t>其他</w:t>
            </w:r>
          </w:p>
        </w:tc>
        <w:tc>
          <w:tcPr>
            <w:tcW w:w="7161" w:type="dxa"/>
            <w:vAlign w:val="center"/>
          </w:tcPr>
          <w:p>
            <w:pPr>
              <w:pStyle w:val="21"/>
              <w:spacing w:line="240" w:lineRule="auto"/>
              <w:jc w:val="left"/>
              <w:rPr>
                <w:rFonts w:ascii="宋体" w:hAnsi="宋体"/>
                <w:szCs w:val="21"/>
              </w:rPr>
            </w:pPr>
            <w:r>
              <w:rPr>
                <w:rFonts w:hint="eastAsia" w:ascii="宋体" w:hAnsi="宋体"/>
                <w:szCs w:val="21"/>
              </w:rPr>
              <w:t>未经采购人同意，不得分包。</w:t>
            </w:r>
          </w:p>
        </w:tc>
      </w:tr>
    </w:tbl>
    <w:p>
      <w:pPr>
        <w:rPr>
          <w:rFonts w:ascii="宋体" w:hAnsi="宋体"/>
        </w:rPr>
      </w:pPr>
      <w:bookmarkStart w:id="41" w:name="_Toc104040690"/>
    </w:p>
    <w:p>
      <w:pPr>
        <w:pStyle w:val="5"/>
        <w:numPr>
          <w:ilvl w:val="0"/>
          <w:numId w:val="5"/>
        </w:numPr>
        <w:spacing w:before="120" w:after="120"/>
        <w:ind w:left="0" w:firstLine="0"/>
        <w:rPr>
          <w:rFonts w:ascii="宋体" w:hAnsi="宋体"/>
          <w:sz w:val="21"/>
          <w:szCs w:val="21"/>
        </w:rPr>
      </w:pPr>
      <w:r>
        <w:rPr>
          <w:rFonts w:hint="eastAsia" w:ascii="宋体" w:hAnsi="宋体"/>
          <w:sz w:val="21"/>
          <w:szCs w:val="21"/>
        </w:rPr>
        <w:t>说明</w:t>
      </w:r>
      <w:bookmarkEnd w:id="41"/>
    </w:p>
    <w:p>
      <w:pPr>
        <w:pStyle w:val="129"/>
        <w:numPr>
          <w:ilvl w:val="1"/>
          <w:numId w:val="7"/>
        </w:numPr>
        <w:spacing w:beforeLines="50" w:afterLines="50"/>
        <w:outlineLvl w:val="2"/>
        <w:rPr>
          <w:rFonts w:ascii="宋体" w:hAnsi="宋体"/>
          <w:b/>
          <w:bCs/>
        </w:rPr>
      </w:pPr>
      <w:r>
        <w:rPr>
          <w:rFonts w:hint="eastAsia" w:ascii="宋体" w:hAnsi="宋体"/>
          <w:b/>
          <w:bCs/>
        </w:rPr>
        <w:t>总则</w:t>
      </w:r>
    </w:p>
    <w:p>
      <w:pPr>
        <w:pStyle w:val="21"/>
        <w:ind w:firstLine="386" w:firstLineChars="200"/>
        <w:rPr>
          <w:rFonts w:ascii="宋体" w:hAnsi="宋体"/>
          <w:szCs w:val="20"/>
        </w:rPr>
      </w:pPr>
      <w:r>
        <w:rPr>
          <w:rFonts w:hint="eastAsia" w:ascii="宋体" w:hAnsi="宋体"/>
          <w:szCs w:val="20"/>
        </w:rPr>
        <w:t>本磋商文件参照《中华人民共和国政府采购法》、《中华人民共和国政府采购法实施条例》（国务院令第658号）和《政府采购竞争性磋商采购方式管理暂行办法》（财库〔2014〕214号）及国家和广东省有关法律、法规、规章制度编制。</w:t>
      </w:r>
    </w:p>
    <w:p>
      <w:pPr>
        <w:pStyle w:val="21"/>
        <w:ind w:firstLine="386" w:firstLineChars="200"/>
        <w:rPr>
          <w:rFonts w:ascii="宋体" w:hAnsi="宋体"/>
          <w:szCs w:val="20"/>
        </w:rPr>
      </w:pPr>
      <w:r>
        <w:rPr>
          <w:rFonts w:hint="eastAsia" w:ascii="宋体" w:hAnsi="宋体"/>
          <w:szCs w:val="20"/>
        </w:rPr>
        <w:t>供应商应仔细阅读本项目信息公告及磋商文件的所有内容（包括变更、补充、澄清以及修改等，且均为磋商文件的组成部分），按照磋商文件要求以及格式编制响应文件，并保证其真实性，否则一切后果自负。</w:t>
      </w:r>
    </w:p>
    <w:p>
      <w:pPr>
        <w:pStyle w:val="21"/>
        <w:ind w:firstLine="386" w:firstLineChars="200"/>
        <w:rPr>
          <w:rFonts w:ascii="宋体" w:hAnsi="宋体"/>
          <w:szCs w:val="20"/>
        </w:rPr>
      </w:pPr>
      <w:r>
        <w:rPr>
          <w:rFonts w:hint="eastAsia" w:ascii="宋体" w:hAnsi="宋体"/>
          <w:szCs w:val="20"/>
        </w:rPr>
        <w:t>本次竞争性磋商项目，是以磋商公告的方式邀请非特定的供应商参加磋商。</w:t>
      </w:r>
    </w:p>
    <w:p>
      <w:pPr>
        <w:pStyle w:val="129"/>
        <w:numPr>
          <w:ilvl w:val="1"/>
          <w:numId w:val="7"/>
        </w:numPr>
        <w:spacing w:beforeLines="50" w:afterLines="50"/>
        <w:outlineLvl w:val="2"/>
        <w:rPr>
          <w:rFonts w:ascii="宋体" w:hAnsi="宋体"/>
          <w:b/>
          <w:bCs/>
        </w:rPr>
      </w:pPr>
      <w:r>
        <w:rPr>
          <w:rFonts w:hint="eastAsia" w:ascii="宋体" w:hAnsi="宋体"/>
          <w:b/>
          <w:bCs/>
        </w:rPr>
        <w:t>适用范围</w:t>
      </w:r>
    </w:p>
    <w:p>
      <w:pPr>
        <w:pStyle w:val="21"/>
        <w:widowControl w:val="0"/>
        <w:ind w:firstLine="386" w:firstLineChars="200"/>
        <w:rPr>
          <w:rFonts w:ascii="宋体" w:hAnsi="宋体"/>
          <w:szCs w:val="20"/>
        </w:rPr>
      </w:pPr>
      <w:r>
        <w:rPr>
          <w:rFonts w:hint="eastAsia" w:ascii="宋体" w:hAnsi="宋体"/>
          <w:szCs w:val="20"/>
        </w:rPr>
        <w:t>本磋商文件仅适用于本次磋商公告中所涉及的项目和内容。</w:t>
      </w:r>
    </w:p>
    <w:p>
      <w:pPr>
        <w:pStyle w:val="129"/>
        <w:widowControl w:val="0"/>
        <w:numPr>
          <w:ilvl w:val="1"/>
          <w:numId w:val="7"/>
        </w:numPr>
        <w:spacing w:beforeLines="50" w:afterLines="50"/>
        <w:outlineLvl w:val="2"/>
        <w:rPr>
          <w:rFonts w:ascii="宋体" w:hAnsi="宋体"/>
          <w:b/>
          <w:bCs/>
        </w:rPr>
      </w:pPr>
      <w:r>
        <w:rPr>
          <w:rFonts w:hint="eastAsia" w:ascii="宋体" w:hAnsi="宋体"/>
          <w:b/>
          <w:bCs/>
        </w:rPr>
        <w:t>进口产品</w:t>
      </w:r>
    </w:p>
    <w:p>
      <w:pPr>
        <w:pStyle w:val="21"/>
        <w:widowControl w:val="0"/>
        <w:ind w:firstLine="386" w:firstLineChars="200"/>
        <w:rPr>
          <w:rFonts w:ascii="宋体" w:hAnsi="宋体"/>
          <w:szCs w:val="20"/>
        </w:rPr>
      </w:pPr>
      <w:r>
        <w:rPr>
          <w:rFonts w:hint="eastAsia" w:ascii="宋体" w:hAnsi="宋体"/>
          <w:szCs w:val="20"/>
        </w:rPr>
        <w:t>若本项目允许采购进口产品，供应商应保证所投产品可履行合法报通关手续进入中国关境内。</w:t>
      </w:r>
    </w:p>
    <w:p>
      <w:pPr>
        <w:pStyle w:val="21"/>
        <w:widowControl w:val="0"/>
        <w:ind w:firstLine="386" w:firstLineChars="200"/>
        <w:rPr>
          <w:rFonts w:ascii="宋体" w:hAnsi="宋体"/>
          <w:szCs w:val="20"/>
        </w:rPr>
      </w:pPr>
      <w:r>
        <w:rPr>
          <w:rFonts w:hint="eastAsia" w:ascii="宋体" w:hAnsi="宋体"/>
          <w:szCs w:val="20"/>
        </w:rPr>
        <w:t>若本项目不允许采购进口产品，如供应商所投产品为进口产品，其响应将被认定为响应无效。</w:t>
      </w:r>
    </w:p>
    <w:p>
      <w:pPr>
        <w:pStyle w:val="129"/>
        <w:widowControl w:val="0"/>
        <w:numPr>
          <w:ilvl w:val="1"/>
          <w:numId w:val="7"/>
        </w:numPr>
        <w:spacing w:beforeLines="50" w:afterLines="50"/>
        <w:outlineLvl w:val="2"/>
        <w:rPr>
          <w:rFonts w:ascii="宋体" w:hAnsi="宋体"/>
          <w:b/>
          <w:bCs/>
        </w:rPr>
      </w:pPr>
      <w:r>
        <w:rPr>
          <w:rFonts w:hint="eastAsia" w:ascii="宋体" w:hAnsi="宋体"/>
          <w:b/>
          <w:bCs/>
        </w:rPr>
        <w:t>磋商费用</w:t>
      </w:r>
    </w:p>
    <w:p>
      <w:pPr>
        <w:pStyle w:val="21"/>
        <w:widowControl w:val="0"/>
        <w:ind w:firstLine="386" w:firstLineChars="200"/>
        <w:rPr>
          <w:rFonts w:ascii="宋体" w:hAnsi="宋体"/>
          <w:szCs w:val="20"/>
        </w:rPr>
      </w:pPr>
      <w:r>
        <w:rPr>
          <w:rFonts w:hint="eastAsia" w:ascii="宋体" w:hAnsi="宋体"/>
          <w:szCs w:val="20"/>
        </w:rPr>
        <w:t>不论磋商结果如何，供应商应承担所有与准备和参加磋商有关的费用。采购代理机构和采购人均无义务和责任承担相关费用。</w:t>
      </w:r>
    </w:p>
    <w:p>
      <w:pPr>
        <w:pStyle w:val="129"/>
        <w:widowControl w:val="0"/>
        <w:numPr>
          <w:ilvl w:val="1"/>
          <w:numId w:val="7"/>
        </w:numPr>
        <w:spacing w:beforeLines="50" w:afterLines="50"/>
        <w:outlineLvl w:val="2"/>
        <w:rPr>
          <w:rFonts w:ascii="宋体" w:hAnsi="宋体"/>
          <w:b/>
          <w:bCs/>
        </w:rPr>
      </w:pPr>
      <w:r>
        <w:rPr>
          <w:rFonts w:hint="eastAsia" w:ascii="宋体" w:hAnsi="宋体"/>
          <w:b/>
          <w:bCs/>
        </w:rPr>
        <w:t>以联合体形式磋商的，应符合以下规定：</w:t>
      </w:r>
    </w:p>
    <w:p>
      <w:pPr>
        <w:pStyle w:val="21"/>
        <w:widowControl w:val="0"/>
        <w:ind w:firstLine="386" w:firstLineChars="200"/>
        <w:rPr>
          <w:rFonts w:ascii="宋体" w:hAnsi="宋体"/>
          <w:szCs w:val="20"/>
        </w:rPr>
      </w:pPr>
      <w:r>
        <w:rPr>
          <w:rFonts w:hint="eastAsia" w:ascii="宋体" w:hAnsi="宋体"/>
          <w:szCs w:val="20"/>
        </w:rPr>
        <w:t>5</w:t>
      </w:r>
      <w:r>
        <w:rPr>
          <w:rFonts w:ascii="宋体" w:hAnsi="宋体"/>
          <w:szCs w:val="20"/>
        </w:rPr>
        <w:t>.1</w:t>
      </w:r>
      <w:r>
        <w:rPr>
          <w:rFonts w:hint="eastAsia" w:ascii="宋体" w:hAnsi="宋体"/>
          <w:szCs w:val="20"/>
        </w:rPr>
        <w:t>联合体各方均应当满足《中华人民共和国政府采购法》第二十二条规定的条件，并在响应文件中提供联合体各方的相关证明材料。</w:t>
      </w:r>
    </w:p>
    <w:p>
      <w:pPr>
        <w:pStyle w:val="21"/>
        <w:widowControl w:val="0"/>
        <w:ind w:firstLine="386" w:firstLineChars="200"/>
        <w:rPr>
          <w:rFonts w:ascii="宋体" w:hAnsi="宋体"/>
          <w:szCs w:val="20"/>
        </w:rPr>
      </w:pPr>
      <w:r>
        <w:rPr>
          <w:rFonts w:ascii="宋体" w:hAnsi="宋体"/>
          <w:szCs w:val="20"/>
        </w:rPr>
        <w:t>5.2</w:t>
      </w:r>
      <w:r>
        <w:rPr>
          <w:rFonts w:hint="eastAsia" w:ascii="宋体" w:hAnsi="宋体"/>
          <w:szCs w:val="20"/>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21"/>
        <w:widowControl w:val="0"/>
        <w:ind w:firstLine="386" w:firstLineChars="200"/>
        <w:rPr>
          <w:rFonts w:ascii="宋体" w:hAnsi="宋体"/>
          <w:szCs w:val="20"/>
        </w:rPr>
      </w:pPr>
      <w:r>
        <w:rPr>
          <w:rFonts w:hint="eastAsia" w:ascii="宋体" w:hAnsi="宋体"/>
          <w:szCs w:val="20"/>
        </w:rPr>
        <w:t>5</w:t>
      </w:r>
      <w:r>
        <w:rPr>
          <w:rFonts w:ascii="宋体" w:hAnsi="宋体"/>
          <w:szCs w:val="20"/>
        </w:rPr>
        <w:t>.3</w:t>
      </w:r>
      <w:r>
        <w:rPr>
          <w:rFonts w:hint="eastAsia" w:ascii="宋体" w:hAnsi="宋体"/>
          <w:szCs w:val="20"/>
        </w:rPr>
        <w:t>联合体名称需与联合体共同响应协议书签署方一致。对于需交响应保证金的，以牵头方名义缴纳。</w:t>
      </w:r>
    </w:p>
    <w:p>
      <w:pPr>
        <w:pStyle w:val="21"/>
        <w:widowControl w:val="0"/>
        <w:ind w:firstLine="386" w:firstLineChars="200"/>
        <w:rPr>
          <w:rFonts w:ascii="宋体" w:hAnsi="宋体"/>
          <w:szCs w:val="20"/>
        </w:rPr>
      </w:pPr>
      <w:r>
        <w:rPr>
          <w:rFonts w:hint="eastAsia" w:ascii="宋体" w:hAnsi="宋体"/>
          <w:szCs w:val="20"/>
        </w:rPr>
        <w:t>5</w:t>
      </w:r>
      <w:r>
        <w:rPr>
          <w:rFonts w:ascii="宋体" w:hAnsi="宋体"/>
          <w:szCs w:val="20"/>
        </w:rPr>
        <w:t>.4</w:t>
      </w:r>
      <w:r>
        <w:rPr>
          <w:rFonts w:hint="eastAsia" w:ascii="宋体" w:hAnsi="宋体"/>
          <w:szCs w:val="20"/>
        </w:rPr>
        <w:t>联合体成员存在不良信用记录的，视同联合体存在不良信用记录。</w:t>
      </w:r>
    </w:p>
    <w:p>
      <w:pPr>
        <w:pStyle w:val="21"/>
        <w:widowControl w:val="0"/>
        <w:ind w:firstLine="386" w:firstLineChars="200"/>
        <w:rPr>
          <w:rFonts w:ascii="宋体" w:hAnsi="宋体"/>
          <w:szCs w:val="20"/>
        </w:rPr>
      </w:pPr>
      <w:r>
        <w:rPr>
          <w:rFonts w:ascii="宋体" w:hAnsi="宋体"/>
          <w:szCs w:val="20"/>
        </w:rPr>
        <w:t>5.5</w:t>
      </w:r>
      <w:r>
        <w:rPr>
          <w:rFonts w:hint="eastAsia" w:ascii="宋体" w:hAnsi="宋体"/>
          <w:szCs w:val="20"/>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21"/>
        <w:widowControl w:val="0"/>
        <w:ind w:firstLine="386" w:firstLineChars="200"/>
        <w:rPr>
          <w:rFonts w:ascii="宋体" w:hAnsi="宋体"/>
          <w:szCs w:val="20"/>
        </w:rPr>
      </w:pPr>
      <w:r>
        <w:rPr>
          <w:rFonts w:hint="eastAsia" w:ascii="宋体" w:hAnsi="宋体"/>
          <w:szCs w:val="20"/>
        </w:rPr>
        <w:t>5</w:t>
      </w:r>
      <w:r>
        <w:rPr>
          <w:rFonts w:ascii="宋体" w:hAnsi="宋体"/>
          <w:szCs w:val="20"/>
        </w:rPr>
        <w:t>.6</w:t>
      </w:r>
      <w:r>
        <w:rPr>
          <w:rFonts w:hint="eastAsia" w:ascii="宋体" w:hAnsi="宋体"/>
          <w:szCs w:val="20"/>
        </w:rPr>
        <w:t>联合体各方应当共同与采购人签订采购合同，就合同约定的事项对采购人承担连带责任。</w:t>
      </w:r>
    </w:p>
    <w:p>
      <w:pPr>
        <w:pStyle w:val="129"/>
        <w:widowControl w:val="0"/>
        <w:numPr>
          <w:ilvl w:val="1"/>
          <w:numId w:val="7"/>
        </w:numPr>
        <w:spacing w:beforeLines="50" w:afterLines="50"/>
        <w:outlineLvl w:val="2"/>
        <w:rPr>
          <w:rFonts w:ascii="宋体" w:hAnsi="宋体"/>
          <w:b/>
          <w:bCs/>
        </w:rPr>
      </w:pPr>
      <w:r>
        <w:rPr>
          <w:rFonts w:hint="eastAsia" w:ascii="宋体" w:hAnsi="宋体"/>
          <w:b/>
          <w:bCs/>
        </w:rPr>
        <w:t>关联企业响应说明</w:t>
      </w:r>
    </w:p>
    <w:p>
      <w:pPr>
        <w:pStyle w:val="21"/>
        <w:widowControl w:val="0"/>
        <w:ind w:firstLine="386" w:firstLineChars="200"/>
        <w:rPr>
          <w:rFonts w:ascii="宋体" w:hAnsi="宋体"/>
          <w:szCs w:val="20"/>
        </w:rPr>
      </w:pPr>
      <w:r>
        <w:rPr>
          <w:rFonts w:hint="eastAsia" w:ascii="宋体" w:hAnsi="宋体"/>
          <w:szCs w:val="20"/>
        </w:rPr>
        <w:t>6</w:t>
      </w:r>
      <w:r>
        <w:rPr>
          <w:rFonts w:ascii="宋体" w:hAnsi="宋体"/>
          <w:szCs w:val="20"/>
        </w:rPr>
        <w:t>.1</w:t>
      </w:r>
      <w:r>
        <w:rPr>
          <w:rFonts w:hint="eastAsia" w:ascii="宋体" w:hAnsi="宋体"/>
          <w:szCs w:val="20"/>
        </w:rPr>
        <w:t>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21"/>
        <w:widowControl w:val="0"/>
        <w:ind w:firstLine="386" w:firstLineChars="200"/>
        <w:rPr>
          <w:rFonts w:ascii="宋体" w:hAnsi="宋体"/>
          <w:szCs w:val="20"/>
        </w:rPr>
      </w:pPr>
      <w:r>
        <w:rPr>
          <w:rFonts w:hint="eastAsia" w:ascii="宋体" w:hAnsi="宋体"/>
          <w:szCs w:val="20"/>
        </w:rPr>
        <w:t>6</w:t>
      </w:r>
      <w:r>
        <w:rPr>
          <w:rFonts w:ascii="宋体" w:hAnsi="宋体"/>
          <w:szCs w:val="20"/>
        </w:rPr>
        <w:t>.2</w:t>
      </w:r>
      <w:r>
        <w:rPr>
          <w:rFonts w:hint="eastAsia" w:ascii="宋体" w:hAnsi="宋体"/>
          <w:szCs w:val="20"/>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129"/>
        <w:numPr>
          <w:ilvl w:val="1"/>
          <w:numId w:val="7"/>
        </w:numPr>
        <w:ind w:left="0"/>
        <w:outlineLvl w:val="2"/>
        <w:rPr>
          <w:rFonts w:ascii="宋体" w:hAnsi="宋体"/>
          <w:b/>
          <w:bCs/>
        </w:rPr>
      </w:pPr>
      <w:r>
        <w:rPr>
          <w:rFonts w:hint="eastAsia" w:ascii="宋体" w:hAnsi="宋体"/>
          <w:b/>
          <w:bCs/>
        </w:rPr>
        <w:t>关于中小微企业响应</w:t>
      </w:r>
    </w:p>
    <w:p>
      <w:pPr>
        <w:pStyle w:val="21"/>
        <w:ind w:firstLine="386" w:firstLineChars="200"/>
        <w:rPr>
          <w:rFonts w:ascii="宋体" w:hAnsi="宋体"/>
          <w:szCs w:val="20"/>
        </w:rPr>
      </w:pPr>
      <w:r>
        <w:rPr>
          <w:rFonts w:hint="eastAsia" w:ascii="宋体" w:hAnsi="宋体"/>
          <w:szCs w:val="20"/>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 。为方便广大中小企业识别企业规模类型，可通过中小企业规模类型自测小程序（http://202.106.120.146/baosong/appweb/orgScale.html）进行查询。</w:t>
      </w:r>
    </w:p>
    <w:p>
      <w:pPr>
        <w:pStyle w:val="21"/>
        <w:ind w:firstLine="386" w:firstLineChars="200"/>
        <w:rPr>
          <w:rFonts w:ascii="宋体" w:hAnsi="宋体"/>
          <w:szCs w:val="20"/>
        </w:rPr>
      </w:pPr>
      <w:r>
        <w:rPr>
          <w:rFonts w:hint="eastAsia" w:ascii="宋体" w:hAnsi="宋体"/>
          <w:szCs w:val="20"/>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微企业声明函》。</w:t>
      </w:r>
    </w:p>
    <w:p>
      <w:pPr>
        <w:pStyle w:val="21"/>
        <w:ind w:firstLine="386" w:firstLineChars="200"/>
        <w:rPr>
          <w:rFonts w:ascii="宋体" w:hAnsi="宋体"/>
          <w:szCs w:val="20"/>
        </w:rPr>
      </w:pPr>
      <w:r>
        <w:rPr>
          <w:rFonts w:hint="eastAsia" w:ascii="宋体" w:hAnsi="宋体"/>
          <w:szCs w:val="20"/>
        </w:rPr>
        <w:t>根据财库〔2017〕141号《财政部 民政部 中国残疾人联合会关于促进残疾人就业政府采购政策的通知》，在采购活动中，残疾人福利性单位视同小型、微型企业，享受政府采购支持政策的残疾人福利性单位应当同时满足《财政部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pPr>
        <w:pStyle w:val="129"/>
        <w:numPr>
          <w:ilvl w:val="1"/>
          <w:numId w:val="7"/>
        </w:numPr>
        <w:spacing w:beforeLines="50" w:afterLines="50"/>
        <w:outlineLvl w:val="2"/>
        <w:rPr>
          <w:rFonts w:ascii="宋体" w:hAnsi="宋体"/>
          <w:b/>
          <w:bCs/>
        </w:rPr>
      </w:pPr>
      <w:r>
        <w:rPr>
          <w:rFonts w:hint="eastAsia" w:ascii="宋体" w:hAnsi="宋体"/>
          <w:b/>
          <w:bCs/>
        </w:rPr>
        <w:t>纪律与保密事项</w:t>
      </w:r>
    </w:p>
    <w:p>
      <w:pPr>
        <w:pStyle w:val="21"/>
        <w:ind w:firstLine="386" w:firstLineChars="200"/>
        <w:rPr>
          <w:rFonts w:ascii="宋体" w:hAnsi="宋体"/>
          <w:szCs w:val="20"/>
        </w:rPr>
      </w:pPr>
      <w:r>
        <w:rPr>
          <w:rFonts w:hint="eastAsia" w:ascii="宋体" w:hAnsi="宋体"/>
          <w:szCs w:val="20"/>
        </w:rPr>
        <w:t>8</w:t>
      </w:r>
      <w:r>
        <w:rPr>
          <w:rFonts w:ascii="宋体" w:hAnsi="宋体"/>
          <w:szCs w:val="20"/>
        </w:rPr>
        <w:t>.1</w:t>
      </w:r>
      <w:r>
        <w:rPr>
          <w:rFonts w:hint="eastAsia" w:ascii="宋体" w:hAnsi="宋体"/>
          <w:szCs w:val="20"/>
        </w:rPr>
        <w:t>供应商不得相互串通磋商报价，不得妨碍其他供应商的公平竞争，不得损害采购人或其他供应商的合法权益，供应商不得以向采购人、磋商小组成员行贿或者采取其他不正当手段谋取成交。</w:t>
      </w:r>
    </w:p>
    <w:p>
      <w:pPr>
        <w:pStyle w:val="21"/>
        <w:ind w:firstLine="386" w:firstLineChars="200"/>
        <w:rPr>
          <w:rFonts w:ascii="宋体" w:hAnsi="宋体"/>
          <w:szCs w:val="20"/>
        </w:rPr>
      </w:pPr>
      <w:r>
        <w:rPr>
          <w:rFonts w:ascii="宋体" w:hAnsi="宋体"/>
          <w:szCs w:val="20"/>
        </w:rPr>
        <w:t>8.2</w:t>
      </w:r>
      <w:r>
        <w:rPr>
          <w:rFonts w:hint="eastAsia" w:ascii="宋体" w:hAnsi="宋体"/>
          <w:szCs w:val="20"/>
        </w:rPr>
        <w:t>供应商不得与采购人就响应价格、响应方案等实质性内容进行磋商，也不得私下接触磋商小组成员。</w:t>
      </w:r>
    </w:p>
    <w:p>
      <w:pPr>
        <w:pStyle w:val="21"/>
        <w:widowControl w:val="0"/>
        <w:ind w:firstLine="386" w:firstLineChars="200"/>
        <w:rPr>
          <w:rFonts w:ascii="宋体" w:hAnsi="宋体"/>
          <w:szCs w:val="20"/>
        </w:rPr>
      </w:pPr>
      <w:r>
        <w:rPr>
          <w:rFonts w:ascii="宋体" w:hAnsi="宋体"/>
          <w:szCs w:val="20"/>
        </w:rPr>
        <w:t>8.3</w:t>
      </w:r>
      <w:r>
        <w:rPr>
          <w:rFonts w:hint="eastAsia" w:ascii="宋体" w:hAnsi="宋体"/>
          <w:szCs w:val="20"/>
        </w:rPr>
        <w:t>在确定成交供应商之前，供应商试图在响应文件审查、澄清、比较和评价时对磋商小组、采购人和采购代理机构施加任何影响都可能导致其响应无效。</w:t>
      </w:r>
    </w:p>
    <w:p>
      <w:pPr>
        <w:pStyle w:val="21"/>
        <w:widowControl w:val="0"/>
        <w:ind w:firstLine="386" w:firstLineChars="200"/>
        <w:rPr>
          <w:rFonts w:ascii="宋体" w:hAnsi="宋体"/>
          <w:szCs w:val="20"/>
        </w:rPr>
      </w:pPr>
      <w:r>
        <w:rPr>
          <w:rFonts w:ascii="宋体" w:hAnsi="宋体"/>
          <w:szCs w:val="20"/>
        </w:rPr>
        <w:t>8.4</w:t>
      </w:r>
      <w:r>
        <w:rPr>
          <w:rFonts w:hint="eastAsia" w:ascii="宋体" w:hAnsi="宋体"/>
          <w:szCs w:val="20"/>
        </w:rPr>
        <w:t>获得本磋商文件者，须履行本磋商项目下保密义务，不得将因本次磋商获得的信息向第三人外传，不得将磋商文件用作本次响应以外的任何用途。</w:t>
      </w:r>
    </w:p>
    <w:p>
      <w:pPr>
        <w:pStyle w:val="21"/>
        <w:widowControl w:val="0"/>
        <w:ind w:firstLine="386" w:firstLineChars="200"/>
        <w:rPr>
          <w:rFonts w:ascii="宋体" w:hAnsi="宋体"/>
          <w:szCs w:val="20"/>
        </w:rPr>
      </w:pPr>
      <w:r>
        <w:rPr>
          <w:rFonts w:ascii="宋体" w:hAnsi="宋体"/>
          <w:szCs w:val="20"/>
        </w:rPr>
        <w:t>8.5</w:t>
      </w:r>
      <w:r>
        <w:rPr>
          <w:rFonts w:hint="eastAsia" w:ascii="宋体" w:hAnsi="宋体"/>
          <w:szCs w:val="20"/>
        </w:rPr>
        <w:t>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21"/>
        <w:widowControl w:val="0"/>
        <w:ind w:firstLine="386" w:firstLineChars="200"/>
        <w:rPr>
          <w:rFonts w:ascii="宋体" w:hAnsi="宋体"/>
          <w:szCs w:val="20"/>
        </w:rPr>
      </w:pPr>
      <w:r>
        <w:rPr>
          <w:rFonts w:hint="eastAsia" w:ascii="宋体" w:hAnsi="宋体"/>
          <w:szCs w:val="20"/>
        </w:rPr>
        <w:t>8</w:t>
      </w:r>
      <w:r>
        <w:rPr>
          <w:rFonts w:ascii="宋体" w:hAnsi="宋体"/>
          <w:szCs w:val="20"/>
        </w:rPr>
        <w:t>.6</w:t>
      </w:r>
      <w:r>
        <w:rPr>
          <w:rFonts w:hint="eastAsia" w:ascii="宋体" w:hAnsi="宋体"/>
          <w:szCs w:val="20"/>
        </w:rPr>
        <w:t xml:space="preserve"> 采购人或采购代理机构有权将供应商提供的所有资料向有关政府部门或询价小组披露。</w:t>
      </w:r>
    </w:p>
    <w:p>
      <w:pPr>
        <w:pStyle w:val="21"/>
        <w:widowControl w:val="0"/>
        <w:ind w:firstLine="386" w:firstLineChars="200"/>
        <w:rPr>
          <w:rFonts w:ascii="宋体" w:hAnsi="宋体"/>
          <w:szCs w:val="20"/>
        </w:rPr>
      </w:pPr>
      <w:r>
        <w:rPr>
          <w:rFonts w:ascii="宋体" w:hAnsi="宋体"/>
          <w:szCs w:val="20"/>
        </w:rPr>
        <w:t>8.7</w:t>
      </w:r>
      <w:r>
        <w:rPr>
          <w:rFonts w:hint="eastAsia" w:ascii="宋体" w:hAnsi="宋体"/>
          <w:szCs w:val="20"/>
        </w:rPr>
        <w:t xml:space="preserve"> 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129"/>
        <w:widowControl w:val="0"/>
        <w:numPr>
          <w:ilvl w:val="1"/>
          <w:numId w:val="7"/>
        </w:numPr>
        <w:spacing w:beforeLines="50" w:afterLines="50"/>
        <w:outlineLvl w:val="2"/>
        <w:rPr>
          <w:rFonts w:ascii="宋体" w:hAnsi="宋体"/>
          <w:b/>
          <w:bCs/>
        </w:rPr>
      </w:pPr>
      <w:r>
        <w:rPr>
          <w:rFonts w:hint="eastAsia" w:ascii="宋体" w:hAnsi="宋体"/>
          <w:b/>
          <w:bCs/>
        </w:rPr>
        <w:t>语言文字以及度量衡单位</w:t>
      </w:r>
    </w:p>
    <w:p>
      <w:pPr>
        <w:pStyle w:val="21"/>
        <w:widowControl w:val="0"/>
        <w:ind w:firstLine="386" w:firstLineChars="200"/>
        <w:rPr>
          <w:rFonts w:ascii="宋体" w:hAnsi="宋体"/>
          <w:szCs w:val="20"/>
        </w:rPr>
      </w:pPr>
      <w:r>
        <w:rPr>
          <w:rFonts w:hint="eastAsia" w:ascii="宋体" w:hAnsi="宋体"/>
          <w:szCs w:val="20"/>
        </w:rPr>
        <w:t>9</w:t>
      </w:r>
      <w:r>
        <w:rPr>
          <w:rFonts w:ascii="宋体" w:hAnsi="宋体"/>
          <w:szCs w:val="20"/>
        </w:rPr>
        <w:t>.1</w:t>
      </w:r>
      <w:r>
        <w:rPr>
          <w:rFonts w:hint="eastAsia" w:ascii="宋体" w:hAnsi="宋体"/>
          <w:szCs w:val="20"/>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21"/>
        <w:ind w:firstLine="386" w:firstLineChars="200"/>
        <w:rPr>
          <w:rFonts w:ascii="宋体" w:hAnsi="宋体"/>
          <w:szCs w:val="20"/>
        </w:rPr>
      </w:pPr>
      <w:r>
        <w:rPr>
          <w:rFonts w:hint="eastAsia" w:ascii="宋体" w:hAnsi="宋体"/>
          <w:szCs w:val="20"/>
        </w:rPr>
        <w:t>9</w:t>
      </w:r>
      <w:r>
        <w:rPr>
          <w:rFonts w:ascii="宋体" w:hAnsi="宋体"/>
          <w:szCs w:val="20"/>
        </w:rPr>
        <w:t>.2</w:t>
      </w:r>
      <w:r>
        <w:rPr>
          <w:rFonts w:hint="eastAsia" w:ascii="宋体" w:hAnsi="宋体"/>
          <w:szCs w:val="20"/>
        </w:rPr>
        <w:t>除非磋商文件的技术规格中另有规定，供应商在响应文件中及其与采购人和采购代理机构的所有往来文件中的计量单位均应采用中华人民共和国法定计量单位。</w:t>
      </w:r>
    </w:p>
    <w:p>
      <w:pPr>
        <w:pStyle w:val="21"/>
        <w:ind w:firstLine="386" w:firstLineChars="200"/>
        <w:rPr>
          <w:rFonts w:ascii="宋体" w:hAnsi="宋体"/>
          <w:szCs w:val="20"/>
        </w:rPr>
      </w:pPr>
      <w:r>
        <w:rPr>
          <w:rFonts w:ascii="宋体" w:hAnsi="宋体"/>
          <w:szCs w:val="20"/>
        </w:rPr>
        <w:t>9.3</w:t>
      </w:r>
      <w:r>
        <w:rPr>
          <w:rFonts w:hint="eastAsia" w:ascii="宋体" w:hAnsi="宋体"/>
          <w:szCs w:val="20"/>
        </w:rPr>
        <w:t>供应商所提供的货物和服务均应以人民币报价，货币单位：元。</w:t>
      </w:r>
    </w:p>
    <w:p>
      <w:pPr>
        <w:pStyle w:val="129"/>
        <w:numPr>
          <w:ilvl w:val="1"/>
          <w:numId w:val="7"/>
        </w:numPr>
        <w:spacing w:beforeLines="50" w:afterLines="50"/>
        <w:outlineLvl w:val="2"/>
        <w:rPr>
          <w:rFonts w:ascii="宋体" w:hAnsi="宋体"/>
          <w:b/>
          <w:bCs/>
        </w:rPr>
      </w:pPr>
      <w:r>
        <w:rPr>
          <w:rFonts w:hint="eastAsia" w:ascii="宋体" w:hAnsi="宋体"/>
          <w:b/>
          <w:bCs/>
        </w:rPr>
        <w:t>现场踏勘（如有）</w:t>
      </w:r>
    </w:p>
    <w:p>
      <w:pPr>
        <w:pStyle w:val="21"/>
        <w:ind w:firstLine="386" w:firstLineChars="200"/>
        <w:rPr>
          <w:rFonts w:ascii="宋体" w:hAnsi="宋体"/>
          <w:szCs w:val="20"/>
        </w:rPr>
      </w:pPr>
      <w:r>
        <w:rPr>
          <w:rFonts w:hint="eastAsia" w:ascii="宋体" w:hAnsi="宋体"/>
          <w:szCs w:val="20"/>
        </w:rPr>
        <w:t>1</w:t>
      </w:r>
      <w:r>
        <w:rPr>
          <w:rFonts w:ascii="宋体" w:hAnsi="宋体"/>
          <w:szCs w:val="20"/>
        </w:rPr>
        <w:t>0.1</w:t>
      </w:r>
      <w:r>
        <w:rPr>
          <w:rFonts w:hint="eastAsia" w:ascii="宋体" w:hAnsi="宋体"/>
          <w:szCs w:val="20"/>
        </w:rPr>
        <w:t>磋商文件规定组织踏勘现场的，采购人按磋商文件规定的时间、地点组织供应商踏勘项目现场。</w:t>
      </w:r>
    </w:p>
    <w:p>
      <w:pPr>
        <w:pStyle w:val="21"/>
        <w:ind w:firstLine="386" w:firstLineChars="200"/>
        <w:rPr>
          <w:rFonts w:ascii="宋体" w:hAnsi="宋体"/>
          <w:szCs w:val="20"/>
        </w:rPr>
      </w:pPr>
      <w:r>
        <w:rPr>
          <w:rFonts w:ascii="宋体" w:hAnsi="宋体"/>
          <w:szCs w:val="20"/>
        </w:rPr>
        <w:t>10.2</w:t>
      </w:r>
      <w:r>
        <w:rPr>
          <w:rFonts w:hint="eastAsia" w:ascii="宋体" w:hAnsi="宋体"/>
          <w:szCs w:val="20"/>
        </w:rPr>
        <w:t>供应商自行承担踏勘现场发生的责任、风险和自身费用。</w:t>
      </w:r>
    </w:p>
    <w:p>
      <w:pPr>
        <w:pStyle w:val="21"/>
        <w:ind w:firstLine="386" w:firstLineChars="200"/>
        <w:rPr>
          <w:rFonts w:ascii="宋体" w:hAnsi="宋体"/>
          <w:szCs w:val="20"/>
        </w:rPr>
      </w:pPr>
      <w:r>
        <w:rPr>
          <w:rFonts w:ascii="宋体" w:hAnsi="宋体"/>
          <w:szCs w:val="20"/>
        </w:rPr>
        <w:t>10.3</w:t>
      </w:r>
      <w:r>
        <w:rPr>
          <w:rFonts w:hint="eastAsia" w:ascii="宋体" w:hAnsi="宋体"/>
          <w:szCs w:val="20"/>
        </w:rPr>
        <w:t>采购人在踏勘现场中介绍的资料和数据等，不构成对磋商文件的修改或不作为供应商编制响应文件的依据。</w:t>
      </w:r>
    </w:p>
    <w:p>
      <w:pPr>
        <w:pStyle w:val="5"/>
        <w:numPr>
          <w:ilvl w:val="0"/>
          <w:numId w:val="5"/>
        </w:numPr>
        <w:spacing w:before="120" w:after="120"/>
        <w:ind w:left="0" w:firstLine="0"/>
        <w:rPr>
          <w:rFonts w:ascii="宋体" w:hAnsi="宋体"/>
          <w:sz w:val="21"/>
          <w:szCs w:val="21"/>
        </w:rPr>
      </w:pPr>
      <w:bookmarkStart w:id="42" w:name="_Toc104040691"/>
      <w:r>
        <w:rPr>
          <w:rFonts w:hint="eastAsia" w:ascii="宋体" w:hAnsi="宋体"/>
          <w:sz w:val="21"/>
          <w:szCs w:val="21"/>
        </w:rPr>
        <w:t>磋商文件的澄清和修改</w:t>
      </w:r>
      <w:bookmarkEnd w:id="42"/>
    </w:p>
    <w:p>
      <w:pPr>
        <w:pStyle w:val="21"/>
        <w:ind w:firstLine="386" w:firstLineChars="200"/>
        <w:rPr>
          <w:rFonts w:ascii="宋体" w:hAnsi="宋体"/>
          <w:szCs w:val="20"/>
        </w:rPr>
      </w:pPr>
      <w:r>
        <w:rPr>
          <w:rFonts w:hint="eastAsia" w:ascii="宋体" w:hAnsi="宋体"/>
          <w:szCs w:val="20"/>
        </w:rPr>
        <w:t>1</w:t>
      </w:r>
      <w:r>
        <w:rPr>
          <w:rFonts w:ascii="宋体" w:hAnsi="宋体"/>
          <w:szCs w:val="20"/>
        </w:rPr>
        <w:t>.</w:t>
      </w:r>
      <w:r>
        <w:rPr>
          <w:rFonts w:hint="eastAsia" w:ascii="宋体" w:hAnsi="宋体"/>
          <w:szCs w:val="20"/>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21"/>
        <w:widowControl w:val="0"/>
        <w:ind w:firstLine="386" w:firstLineChars="200"/>
        <w:rPr>
          <w:rFonts w:ascii="宋体" w:hAnsi="宋体"/>
          <w:szCs w:val="20"/>
        </w:rPr>
      </w:pPr>
      <w:r>
        <w:rPr>
          <w:rFonts w:hint="eastAsia" w:ascii="宋体" w:hAnsi="宋体"/>
          <w:szCs w:val="20"/>
        </w:rPr>
        <w:t>2</w:t>
      </w:r>
      <w:r>
        <w:rPr>
          <w:rFonts w:ascii="宋体" w:hAnsi="宋体"/>
          <w:szCs w:val="20"/>
        </w:rPr>
        <w:t>.</w:t>
      </w:r>
      <w:r>
        <w:rPr>
          <w:rFonts w:hint="eastAsia" w:ascii="宋体" w:hAnsi="宋体"/>
          <w:szCs w:val="20"/>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21"/>
        <w:widowControl w:val="0"/>
        <w:ind w:firstLine="386" w:firstLineChars="200"/>
        <w:rPr>
          <w:rFonts w:ascii="宋体" w:hAnsi="宋体"/>
          <w:szCs w:val="20"/>
        </w:rPr>
      </w:pPr>
      <w:r>
        <w:rPr>
          <w:rFonts w:hint="eastAsia" w:ascii="宋体" w:hAnsi="宋体"/>
          <w:szCs w:val="20"/>
        </w:rPr>
        <w:t>3</w:t>
      </w:r>
      <w:r>
        <w:rPr>
          <w:rFonts w:ascii="宋体" w:hAnsi="宋体"/>
          <w:szCs w:val="20"/>
        </w:rPr>
        <w:t>.</w:t>
      </w:r>
      <w:r>
        <w:rPr>
          <w:rFonts w:hint="eastAsia" w:ascii="宋体" w:hAnsi="宋体"/>
          <w:szCs w:val="20"/>
        </w:rPr>
        <w:t>如更正公告有重新发布磋商文件的，供应商应重新获取最新发布的磋商文件制作响应文件。</w:t>
      </w:r>
    </w:p>
    <w:p>
      <w:pPr>
        <w:pStyle w:val="21"/>
        <w:widowControl w:val="0"/>
        <w:ind w:firstLine="386" w:firstLineChars="200"/>
        <w:rPr>
          <w:rFonts w:ascii="宋体" w:hAnsi="宋体"/>
          <w:szCs w:val="20"/>
        </w:rPr>
      </w:pPr>
      <w:r>
        <w:rPr>
          <w:rFonts w:hint="eastAsia" w:ascii="宋体" w:hAnsi="宋体"/>
          <w:szCs w:val="20"/>
        </w:rPr>
        <w:t>4</w:t>
      </w:r>
      <w:r>
        <w:rPr>
          <w:rFonts w:ascii="宋体" w:hAnsi="宋体"/>
          <w:szCs w:val="20"/>
        </w:rPr>
        <w:t>.</w:t>
      </w:r>
      <w:r>
        <w:rPr>
          <w:rFonts w:hint="eastAsia" w:ascii="宋体" w:hAnsi="宋体"/>
          <w:szCs w:val="20"/>
        </w:rPr>
        <w:t>供应商在规定的时间内未对磋商文件提出疑问、质疑或要求澄清的，将视其为无异议。对磋商文件中描述有歧义或前后不一致的地方，磋商小组有权进行评判，但对同一条款的评判应适用于每个供应商。</w:t>
      </w:r>
    </w:p>
    <w:p>
      <w:pPr>
        <w:pStyle w:val="5"/>
        <w:numPr>
          <w:ilvl w:val="0"/>
          <w:numId w:val="5"/>
        </w:numPr>
        <w:spacing w:before="120" w:after="120"/>
        <w:ind w:left="0" w:firstLine="0"/>
        <w:rPr>
          <w:rFonts w:ascii="宋体" w:hAnsi="宋体"/>
          <w:sz w:val="21"/>
          <w:szCs w:val="21"/>
        </w:rPr>
      </w:pPr>
      <w:bookmarkStart w:id="43" w:name="_Toc104040692"/>
      <w:r>
        <w:rPr>
          <w:rFonts w:hint="eastAsia" w:ascii="宋体" w:hAnsi="宋体"/>
          <w:sz w:val="21"/>
          <w:szCs w:val="21"/>
        </w:rPr>
        <w:t>响应要求</w:t>
      </w:r>
      <w:bookmarkEnd w:id="43"/>
    </w:p>
    <w:p>
      <w:pPr>
        <w:pStyle w:val="129"/>
        <w:numPr>
          <w:ilvl w:val="0"/>
          <w:numId w:val="8"/>
        </w:numPr>
        <w:spacing w:beforeLines="50" w:afterLines="50"/>
        <w:outlineLvl w:val="2"/>
        <w:rPr>
          <w:rFonts w:ascii="宋体" w:hAnsi="宋体"/>
          <w:b/>
          <w:bCs/>
        </w:rPr>
      </w:pPr>
      <w:r>
        <w:rPr>
          <w:rFonts w:hint="eastAsia" w:ascii="宋体" w:hAnsi="宋体"/>
          <w:b/>
          <w:bCs/>
        </w:rPr>
        <w:t>响应文件的制作</w:t>
      </w:r>
    </w:p>
    <w:p>
      <w:pPr>
        <w:pStyle w:val="21"/>
        <w:ind w:firstLine="386" w:firstLineChars="200"/>
        <w:rPr>
          <w:rFonts w:ascii="宋体" w:hAnsi="宋体"/>
          <w:szCs w:val="20"/>
        </w:rPr>
      </w:pPr>
      <w:r>
        <w:rPr>
          <w:rFonts w:hint="eastAsia" w:ascii="宋体" w:hAnsi="宋体"/>
          <w:szCs w:val="20"/>
        </w:rPr>
        <w:t>2</w:t>
      </w:r>
      <w:r>
        <w:rPr>
          <w:rFonts w:ascii="宋体" w:hAnsi="宋体"/>
          <w:szCs w:val="20"/>
        </w:rPr>
        <w:t>.1</w:t>
      </w:r>
      <w:r>
        <w:rPr>
          <w:rFonts w:hint="eastAsia" w:ascii="宋体" w:hAnsi="宋体"/>
          <w:szCs w:val="20"/>
        </w:rPr>
        <w:t>响应文件格式要求详见第六章说明。</w:t>
      </w:r>
    </w:p>
    <w:p>
      <w:pPr>
        <w:pStyle w:val="21"/>
        <w:ind w:firstLine="386" w:firstLineChars="200"/>
        <w:rPr>
          <w:rFonts w:ascii="宋体" w:hAnsi="宋体"/>
          <w:szCs w:val="20"/>
        </w:rPr>
      </w:pPr>
      <w:r>
        <w:rPr>
          <w:rFonts w:ascii="宋体" w:hAnsi="宋体"/>
          <w:szCs w:val="20"/>
        </w:rPr>
        <w:t>2.2</w:t>
      </w:r>
      <w:r>
        <w:rPr>
          <w:rFonts w:hint="eastAsia" w:ascii="宋体" w:hAnsi="宋体"/>
          <w:szCs w:val="20"/>
        </w:rPr>
        <w:t>关于磋商报价说明如下：</w:t>
      </w:r>
    </w:p>
    <w:p>
      <w:pPr>
        <w:pStyle w:val="21"/>
        <w:ind w:firstLine="386" w:firstLineChars="200"/>
        <w:rPr>
          <w:rFonts w:ascii="宋体" w:hAnsi="宋体"/>
          <w:szCs w:val="20"/>
        </w:rPr>
      </w:pPr>
      <w:r>
        <w:rPr>
          <w:rFonts w:hint="eastAsia" w:ascii="宋体" w:hAnsi="宋体"/>
          <w:szCs w:val="20"/>
        </w:rPr>
        <w:t>（1）供应商应按照“第二章采购需求”的需求内容、责任范围以及合同条款进行报价。并按“首轮报价表”和“分项报价表（如有）”规定的格式报出总价和分项价格（如有）。磋商总价中不得包含磋商文件要求以外的内容，否则，在评审时不予核减。</w:t>
      </w:r>
    </w:p>
    <w:p>
      <w:pPr>
        <w:pStyle w:val="21"/>
        <w:ind w:firstLine="386" w:firstLineChars="200"/>
        <w:rPr>
          <w:rFonts w:ascii="宋体" w:hAnsi="宋体"/>
          <w:szCs w:val="20"/>
        </w:rPr>
      </w:pPr>
      <w:r>
        <w:rPr>
          <w:rFonts w:hint="eastAsia" w:ascii="宋体" w:hAnsi="宋体"/>
          <w:szCs w:val="20"/>
        </w:rPr>
        <w:t>（2）磋商报价包括本项目采购需求和投入使用的所有费用，包括但不限于主件、标准附件、备品备件、施工、服务、专用工具、安装、调试、检验、培训、运输、保险、税款等。</w:t>
      </w:r>
    </w:p>
    <w:p>
      <w:pPr>
        <w:pStyle w:val="21"/>
        <w:ind w:left="420"/>
        <w:rPr>
          <w:rFonts w:ascii="宋体" w:hAnsi="宋体"/>
          <w:szCs w:val="20"/>
        </w:rPr>
      </w:pPr>
      <w:r>
        <w:rPr>
          <w:rFonts w:hint="eastAsia" w:ascii="宋体" w:hAnsi="宋体"/>
          <w:szCs w:val="20"/>
        </w:rPr>
        <w:t>（3）磋商报价不得有选择性报价和附有条件的报价，否则将导致响应无效。</w:t>
      </w:r>
    </w:p>
    <w:p>
      <w:pPr>
        <w:pStyle w:val="21"/>
        <w:ind w:firstLine="386" w:firstLineChars="200"/>
        <w:rPr>
          <w:rFonts w:ascii="宋体" w:hAnsi="宋体"/>
          <w:szCs w:val="20"/>
        </w:rPr>
      </w:pPr>
      <w:r>
        <w:rPr>
          <w:rFonts w:ascii="宋体" w:hAnsi="宋体"/>
          <w:szCs w:val="20"/>
        </w:rPr>
        <w:t>2.3</w:t>
      </w:r>
      <w:r>
        <w:rPr>
          <w:rFonts w:hint="eastAsia" w:ascii="宋体" w:hAnsi="宋体"/>
          <w:szCs w:val="20"/>
        </w:rPr>
        <w:t>如有对多个采购包响应的，要对每个采购包独立制作响应文件，或者分别制作通用册和专用册的响应文件，且需在响应文件中明示对应采购包情况。</w:t>
      </w:r>
    </w:p>
    <w:p>
      <w:pPr>
        <w:pStyle w:val="21"/>
        <w:ind w:firstLine="386" w:firstLineChars="200"/>
        <w:rPr>
          <w:rFonts w:ascii="宋体" w:hAnsi="宋体"/>
          <w:szCs w:val="20"/>
        </w:rPr>
      </w:pPr>
      <w:r>
        <w:rPr>
          <w:rFonts w:ascii="宋体" w:hAnsi="宋体"/>
          <w:szCs w:val="20"/>
        </w:rPr>
        <w:t>2.4</w:t>
      </w:r>
      <w:r>
        <w:rPr>
          <w:rFonts w:hint="eastAsia" w:ascii="宋体" w:hAnsi="宋体"/>
          <w:szCs w:val="20"/>
        </w:rPr>
        <w:t>供应商不得将同一个项目或同一个采购包的内容拆开响应，否则其报价将被视为非实质性响应。</w:t>
      </w:r>
    </w:p>
    <w:p>
      <w:pPr>
        <w:pStyle w:val="21"/>
        <w:ind w:firstLine="386" w:firstLineChars="200"/>
        <w:rPr>
          <w:rFonts w:ascii="宋体" w:hAnsi="宋体"/>
          <w:szCs w:val="20"/>
        </w:rPr>
      </w:pPr>
      <w:r>
        <w:rPr>
          <w:rFonts w:ascii="宋体" w:hAnsi="宋体"/>
          <w:szCs w:val="20"/>
        </w:rPr>
        <w:t>2.5</w:t>
      </w:r>
      <w:r>
        <w:rPr>
          <w:rFonts w:hint="eastAsia" w:ascii="宋体" w:hAnsi="宋体"/>
          <w:szCs w:val="20"/>
        </w:rPr>
        <w:t>供应商须对磋商文件的对应要求给予唯一的实质性响应，否则将视为不响应。</w:t>
      </w:r>
    </w:p>
    <w:p>
      <w:pPr>
        <w:pStyle w:val="21"/>
        <w:ind w:firstLine="386" w:firstLineChars="200"/>
        <w:rPr>
          <w:rFonts w:ascii="宋体" w:hAnsi="宋体"/>
          <w:szCs w:val="20"/>
        </w:rPr>
      </w:pPr>
      <w:r>
        <w:rPr>
          <w:rFonts w:ascii="宋体" w:hAnsi="宋体"/>
          <w:szCs w:val="20"/>
        </w:rPr>
        <w:t>2.6</w:t>
      </w:r>
      <w:r>
        <w:rPr>
          <w:rFonts w:hint="eastAsia" w:ascii="宋体" w:hAnsi="宋体"/>
          <w:szCs w:val="20"/>
        </w:rPr>
        <w:t>磋商文件中，凡标有“★”的地方均为实质性响应条款，供应商若有一项带“★”的条款未响应或不满足，将按无效响应处理。</w:t>
      </w:r>
    </w:p>
    <w:p>
      <w:pPr>
        <w:pStyle w:val="21"/>
        <w:ind w:firstLine="386" w:firstLineChars="200"/>
        <w:rPr>
          <w:rFonts w:ascii="宋体" w:hAnsi="宋体"/>
          <w:szCs w:val="20"/>
        </w:rPr>
      </w:pPr>
      <w:r>
        <w:rPr>
          <w:rFonts w:ascii="宋体" w:hAnsi="宋体"/>
          <w:szCs w:val="20"/>
        </w:rPr>
        <w:t>2.7</w:t>
      </w:r>
      <w:r>
        <w:rPr>
          <w:rFonts w:hint="eastAsia" w:ascii="宋体" w:hAnsi="宋体"/>
          <w:szCs w:val="20"/>
        </w:rPr>
        <w:t>供应商必须按磋商文件指定的格式填写各种报价，各报价应计算正确。除在磋商文件另有规定外（如：报折扣、报优惠率等），计量单位应使用中华人民共和国法定计量单位，以人民币填报所有报价。</w:t>
      </w:r>
    </w:p>
    <w:p>
      <w:pPr>
        <w:pStyle w:val="21"/>
        <w:ind w:firstLine="386" w:firstLineChars="200"/>
        <w:rPr>
          <w:rFonts w:ascii="宋体" w:hAnsi="宋体"/>
          <w:szCs w:val="20"/>
        </w:rPr>
      </w:pPr>
      <w:r>
        <w:rPr>
          <w:rFonts w:hint="eastAsia" w:ascii="宋体" w:hAnsi="宋体"/>
          <w:szCs w:val="20"/>
        </w:rPr>
        <w:t>2</w:t>
      </w:r>
      <w:r>
        <w:rPr>
          <w:rFonts w:ascii="宋体" w:hAnsi="宋体"/>
          <w:szCs w:val="20"/>
        </w:rPr>
        <w:t>.8</w:t>
      </w:r>
      <w:r>
        <w:rPr>
          <w:rFonts w:hint="eastAsia" w:ascii="宋体" w:hAnsi="宋体"/>
          <w:szCs w:val="20"/>
        </w:rPr>
        <w:t>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21"/>
        <w:ind w:firstLine="386" w:firstLineChars="200"/>
        <w:rPr>
          <w:rFonts w:ascii="宋体" w:hAnsi="宋体"/>
          <w:szCs w:val="20"/>
        </w:rPr>
      </w:pPr>
      <w:r>
        <w:rPr>
          <w:rFonts w:hint="eastAsia" w:ascii="宋体" w:hAnsi="宋体"/>
          <w:szCs w:val="20"/>
        </w:rPr>
        <w:t>2</w:t>
      </w:r>
      <w:r>
        <w:rPr>
          <w:rFonts w:ascii="宋体" w:hAnsi="宋体"/>
          <w:szCs w:val="20"/>
        </w:rPr>
        <w:t>.9</w:t>
      </w:r>
      <w:r>
        <w:rPr>
          <w:rFonts w:hint="eastAsia" w:ascii="宋体" w:hAnsi="宋体"/>
          <w:szCs w:val="20"/>
        </w:rPr>
        <w:t>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p>
    <w:p>
      <w:pPr>
        <w:pStyle w:val="129"/>
        <w:numPr>
          <w:ilvl w:val="0"/>
          <w:numId w:val="8"/>
        </w:numPr>
        <w:spacing w:beforeLines="50" w:afterLines="50"/>
        <w:outlineLvl w:val="2"/>
        <w:rPr>
          <w:rFonts w:ascii="宋体" w:hAnsi="宋体"/>
          <w:b/>
          <w:bCs/>
        </w:rPr>
      </w:pPr>
      <w:r>
        <w:rPr>
          <w:rFonts w:hint="eastAsia" w:ascii="宋体" w:hAnsi="宋体"/>
          <w:b/>
          <w:bCs/>
        </w:rPr>
        <w:t>响应文件的提交</w:t>
      </w:r>
    </w:p>
    <w:p>
      <w:pPr>
        <w:pStyle w:val="21"/>
        <w:ind w:firstLine="386" w:firstLineChars="200"/>
        <w:rPr>
          <w:rFonts w:ascii="宋体" w:hAnsi="宋体"/>
          <w:szCs w:val="20"/>
        </w:rPr>
      </w:pPr>
      <w:r>
        <w:rPr>
          <w:rFonts w:hint="eastAsia" w:ascii="宋体" w:hAnsi="宋体"/>
          <w:szCs w:val="20"/>
        </w:rPr>
        <w:t>3</w:t>
      </w:r>
      <w:r>
        <w:rPr>
          <w:rFonts w:ascii="宋体" w:hAnsi="宋体"/>
          <w:szCs w:val="20"/>
        </w:rPr>
        <w:t>.1</w:t>
      </w:r>
      <w:r>
        <w:rPr>
          <w:rFonts w:hint="eastAsia" w:ascii="宋体" w:hAnsi="宋体"/>
          <w:szCs w:val="20"/>
        </w:rPr>
        <w:t>在响应文件提交截止时间前，供应商须将响应文件提交至采购公告所示的提交响应文件地址。时间以北京时间为准，递交响应文件截止时间结束后，将不再接收响应文件。</w:t>
      </w:r>
    </w:p>
    <w:p>
      <w:pPr>
        <w:pStyle w:val="21"/>
        <w:ind w:firstLine="386" w:firstLineChars="200"/>
        <w:rPr>
          <w:rFonts w:ascii="宋体" w:hAnsi="宋体"/>
          <w:szCs w:val="20"/>
        </w:rPr>
      </w:pPr>
      <w:r>
        <w:rPr>
          <w:rFonts w:hint="eastAsia" w:ascii="宋体" w:hAnsi="宋体"/>
          <w:szCs w:val="20"/>
        </w:rPr>
        <w:t>3</w:t>
      </w:r>
      <w:r>
        <w:rPr>
          <w:rFonts w:ascii="宋体" w:hAnsi="宋体"/>
          <w:szCs w:val="20"/>
        </w:rPr>
        <w:t>.2</w:t>
      </w:r>
      <w:r>
        <w:rPr>
          <w:rFonts w:hint="eastAsia" w:ascii="宋体" w:hAnsi="宋体"/>
          <w:szCs w:val="20"/>
        </w:rPr>
        <w:t>代理机构对因不可抗力事件造成的响应文件的损坏、丢失的，不承担责任。</w:t>
      </w:r>
    </w:p>
    <w:p>
      <w:pPr>
        <w:pStyle w:val="129"/>
        <w:numPr>
          <w:ilvl w:val="0"/>
          <w:numId w:val="8"/>
        </w:numPr>
        <w:spacing w:beforeLines="50" w:afterLines="50"/>
        <w:outlineLvl w:val="2"/>
        <w:rPr>
          <w:rFonts w:ascii="宋体" w:hAnsi="宋体"/>
          <w:b/>
          <w:bCs/>
        </w:rPr>
      </w:pPr>
      <w:r>
        <w:rPr>
          <w:rFonts w:hint="eastAsia" w:ascii="宋体" w:hAnsi="宋体"/>
          <w:b/>
          <w:bCs/>
        </w:rPr>
        <w:t>响应文件的修改、撤回与撤销</w:t>
      </w:r>
    </w:p>
    <w:p>
      <w:pPr>
        <w:pStyle w:val="21"/>
        <w:ind w:firstLine="386" w:firstLineChars="200"/>
        <w:rPr>
          <w:rFonts w:ascii="宋体" w:hAnsi="宋体"/>
          <w:szCs w:val="20"/>
        </w:rPr>
      </w:pPr>
      <w:r>
        <w:rPr>
          <w:rFonts w:hint="eastAsia" w:ascii="宋体" w:hAnsi="宋体"/>
          <w:szCs w:val="20"/>
        </w:rPr>
        <w:t>4.1在提交响应文件截止时间前，供应商可以修改或撤回响应文件，并于提交响应文件截止时间前将修改后的响应文件送达至采购公告所示的提交响应文件地址，到达响应文件提交截止时间后，将不允许修改或撤回。</w:t>
      </w:r>
    </w:p>
    <w:p>
      <w:pPr>
        <w:pStyle w:val="21"/>
        <w:ind w:firstLine="386" w:firstLineChars="200"/>
        <w:rPr>
          <w:rFonts w:ascii="宋体" w:hAnsi="宋体"/>
          <w:szCs w:val="20"/>
        </w:rPr>
      </w:pPr>
      <w:r>
        <w:rPr>
          <w:rFonts w:hint="eastAsia" w:ascii="宋体" w:hAnsi="宋体"/>
          <w:szCs w:val="20"/>
        </w:rPr>
        <w:t>4.2在提交响应文件截止时间后，供应商不得补充、修改和更换响应文件。</w:t>
      </w:r>
    </w:p>
    <w:p>
      <w:pPr>
        <w:pStyle w:val="129"/>
        <w:numPr>
          <w:ilvl w:val="0"/>
          <w:numId w:val="8"/>
        </w:numPr>
        <w:spacing w:beforeLines="50" w:afterLines="50"/>
        <w:outlineLvl w:val="2"/>
        <w:rPr>
          <w:rFonts w:ascii="宋体" w:hAnsi="宋体"/>
          <w:b/>
          <w:bCs/>
        </w:rPr>
      </w:pPr>
      <w:r>
        <w:rPr>
          <w:rFonts w:hint="eastAsia" w:ascii="宋体" w:hAnsi="宋体"/>
          <w:b/>
          <w:bCs/>
        </w:rPr>
        <w:t>响应保证金</w:t>
      </w:r>
    </w:p>
    <w:p>
      <w:pPr>
        <w:pStyle w:val="21"/>
        <w:ind w:firstLine="386" w:firstLineChars="200"/>
        <w:rPr>
          <w:rFonts w:ascii="宋体" w:hAnsi="宋体"/>
          <w:szCs w:val="20"/>
        </w:rPr>
      </w:pPr>
      <w:r>
        <w:rPr>
          <w:rFonts w:hint="eastAsia" w:ascii="宋体" w:hAnsi="宋体"/>
          <w:szCs w:val="20"/>
        </w:rPr>
        <w:t>5</w:t>
      </w:r>
      <w:r>
        <w:rPr>
          <w:rFonts w:ascii="宋体" w:hAnsi="宋体"/>
          <w:szCs w:val="20"/>
        </w:rPr>
        <w:t>.1</w:t>
      </w:r>
      <w:r>
        <w:rPr>
          <w:rFonts w:hint="eastAsia" w:ascii="宋体" w:hAnsi="宋体"/>
          <w:szCs w:val="20"/>
        </w:rPr>
        <w:t>响应保证金的缴纳</w:t>
      </w:r>
    </w:p>
    <w:p>
      <w:pPr>
        <w:pStyle w:val="21"/>
        <w:ind w:firstLine="386" w:firstLineChars="200"/>
        <w:rPr>
          <w:rFonts w:ascii="宋体" w:hAnsi="宋体"/>
          <w:szCs w:val="20"/>
        </w:rPr>
      </w:pPr>
      <w:r>
        <w:rPr>
          <w:rFonts w:hint="eastAsia" w:ascii="宋体" w:hAnsi="宋体"/>
          <w:szCs w:val="20"/>
        </w:rPr>
        <w:t>供应商在提交响应文件的同时，应按供应商须知前附表规定的金额和缴纳要求缴纳响应保证金，并作为其响应文件的组成部分。</w:t>
      </w:r>
    </w:p>
    <w:p>
      <w:pPr>
        <w:pStyle w:val="21"/>
        <w:ind w:firstLine="386" w:firstLineChars="200"/>
        <w:rPr>
          <w:rFonts w:ascii="宋体" w:hAnsi="宋体"/>
          <w:szCs w:val="20"/>
        </w:rPr>
      </w:pPr>
      <w:r>
        <w:rPr>
          <w:rFonts w:hint="eastAsia" w:ascii="宋体" w:hAnsi="宋体"/>
          <w:szCs w:val="20"/>
        </w:rPr>
        <w:t>如采用转账、支票、本票、汇票形式提交的，响应保证金从供应商基本账户递交，由广东达禾工程管理有限公司代收。具体操作要求详见广东达禾工程管理有限公司有关指引，递交事宜请自行咨询广东达禾工程管理有限公司；请各供应商在响应文件递交截止时间前按须知前附表规定的金额递交至广东达禾工程管理有限公司，到账情况以开启时广东达禾工程管理有限公司查询的信息为准。</w:t>
      </w:r>
    </w:p>
    <w:p>
      <w:pPr>
        <w:pStyle w:val="21"/>
        <w:ind w:firstLine="386" w:firstLineChars="200"/>
        <w:rPr>
          <w:rFonts w:ascii="宋体" w:hAnsi="宋体"/>
          <w:szCs w:val="20"/>
        </w:rPr>
      </w:pPr>
      <w:r>
        <w:rPr>
          <w:rFonts w:hint="eastAsia" w:ascii="宋体" w:hAnsi="宋体"/>
          <w:szCs w:val="20"/>
        </w:rPr>
        <w:t>如采用金融机构、专业担保机构开具的投标（响应）担保函、投标（响应）保证保险函等形式提交响应保证金的，投标（响应）担保函或投标（响应）保证保险函须开具给采购人（保险受益人须为采购人），并与响应文件一同递交。</w:t>
      </w:r>
    </w:p>
    <w:p>
      <w:pPr>
        <w:pStyle w:val="21"/>
        <w:ind w:firstLine="386" w:firstLineChars="200"/>
        <w:rPr>
          <w:rFonts w:ascii="宋体" w:hAnsi="宋体"/>
          <w:szCs w:val="20"/>
        </w:rPr>
      </w:pPr>
      <w:r>
        <w:rPr>
          <w:rFonts w:hint="eastAsia" w:ascii="宋体" w:hAnsi="宋体"/>
          <w:szCs w:val="20"/>
        </w:rPr>
        <w:t>注意事项：供应商通过线下方式缴纳保证金（转账、支票、汇票、本票、纸质保函）的，需准备缴纳凭证的扫描件作为核验凭证。</w:t>
      </w:r>
    </w:p>
    <w:p>
      <w:pPr>
        <w:pStyle w:val="21"/>
        <w:ind w:firstLine="386" w:firstLineChars="200"/>
        <w:rPr>
          <w:rFonts w:ascii="宋体" w:hAnsi="宋体"/>
          <w:szCs w:val="20"/>
        </w:rPr>
      </w:pPr>
      <w:r>
        <w:rPr>
          <w:rFonts w:hint="eastAsia" w:ascii="宋体" w:hAnsi="宋体"/>
          <w:szCs w:val="20"/>
        </w:rPr>
        <w:t>5</w:t>
      </w:r>
      <w:r>
        <w:rPr>
          <w:rFonts w:ascii="宋体" w:hAnsi="宋体"/>
          <w:szCs w:val="20"/>
        </w:rPr>
        <w:t>.2</w:t>
      </w:r>
      <w:r>
        <w:rPr>
          <w:rFonts w:hint="eastAsia" w:ascii="宋体" w:hAnsi="宋体"/>
          <w:szCs w:val="20"/>
        </w:rPr>
        <w:t>响应保证金的退还：</w:t>
      </w:r>
    </w:p>
    <w:p>
      <w:pPr>
        <w:pStyle w:val="21"/>
        <w:ind w:firstLine="386" w:firstLineChars="200"/>
        <w:rPr>
          <w:rFonts w:ascii="宋体" w:hAnsi="宋体"/>
          <w:szCs w:val="20"/>
        </w:rPr>
      </w:pPr>
      <w:r>
        <w:rPr>
          <w:rFonts w:hint="eastAsia" w:ascii="宋体" w:hAnsi="宋体"/>
          <w:szCs w:val="20"/>
        </w:rPr>
        <w:t>（1）供应商在递交响应文件截止时间前放弃响应的，自所投采购包结果公告发出后5个工作日内退还。</w:t>
      </w:r>
    </w:p>
    <w:p>
      <w:pPr>
        <w:pStyle w:val="21"/>
        <w:ind w:firstLine="386" w:firstLineChars="200"/>
        <w:jc w:val="left"/>
        <w:rPr>
          <w:rFonts w:ascii="宋体" w:hAnsi="宋体"/>
          <w:szCs w:val="20"/>
        </w:rPr>
      </w:pPr>
      <w:r>
        <w:rPr>
          <w:rFonts w:hint="eastAsia" w:ascii="宋体" w:hAnsi="宋体"/>
          <w:szCs w:val="20"/>
        </w:rPr>
        <w:t>（2）未成交的供应商保证金，在成交供应商发出后5个工作日内原额退还。</w:t>
      </w:r>
    </w:p>
    <w:p>
      <w:pPr>
        <w:pStyle w:val="21"/>
        <w:ind w:firstLine="386" w:firstLineChars="200"/>
        <w:jc w:val="left"/>
        <w:rPr>
          <w:rFonts w:ascii="宋体" w:hAnsi="宋体"/>
          <w:szCs w:val="20"/>
        </w:rPr>
      </w:pPr>
      <w:r>
        <w:rPr>
          <w:rFonts w:hint="eastAsia" w:ascii="宋体" w:hAnsi="宋体"/>
          <w:szCs w:val="20"/>
        </w:rPr>
        <w:t>（3）成交供应商的响应保证金,在成交供应商与采购人签订采购合同后5个工作日内原额退还。</w:t>
      </w:r>
    </w:p>
    <w:p>
      <w:pPr>
        <w:pStyle w:val="21"/>
        <w:ind w:firstLine="386" w:firstLineChars="200"/>
        <w:rPr>
          <w:rFonts w:ascii="宋体" w:hAnsi="宋体"/>
          <w:szCs w:val="20"/>
        </w:rPr>
      </w:pPr>
      <w:r>
        <w:rPr>
          <w:rFonts w:hint="eastAsia" w:ascii="宋体" w:hAnsi="宋体"/>
          <w:szCs w:val="20"/>
        </w:rPr>
        <w:t>备注：但因供应商自身原因导致无法及时退还的除外。</w:t>
      </w:r>
    </w:p>
    <w:p>
      <w:pPr>
        <w:pStyle w:val="21"/>
        <w:ind w:firstLine="386" w:firstLineChars="200"/>
        <w:rPr>
          <w:rFonts w:ascii="宋体" w:hAnsi="宋体"/>
          <w:szCs w:val="20"/>
        </w:rPr>
      </w:pPr>
      <w:r>
        <w:rPr>
          <w:rFonts w:hint="eastAsia" w:ascii="宋体" w:hAnsi="宋体"/>
          <w:szCs w:val="20"/>
        </w:rPr>
        <w:t>5</w:t>
      </w:r>
      <w:r>
        <w:rPr>
          <w:rFonts w:ascii="宋体" w:hAnsi="宋体"/>
          <w:szCs w:val="20"/>
        </w:rPr>
        <w:t>.3</w:t>
      </w:r>
      <w:r>
        <w:rPr>
          <w:rFonts w:hint="eastAsia" w:ascii="宋体" w:hAnsi="宋体"/>
          <w:szCs w:val="20"/>
        </w:rPr>
        <w:t>有下列情形之一的，响应保证金将不予退还</w:t>
      </w:r>
      <w:bookmarkStart w:id="44" w:name="_Hlk104121839"/>
      <w:r>
        <w:rPr>
          <w:rFonts w:hint="eastAsia" w:ascii="宋体" w:hAnsi="宋体"/>
          <w:szCs w:val="20"/>
        </w:rPr>
        <w:t>并上缴国库</w:t>
      </w:r>
      <w:bookmarkEnd w:id="44"/>
      <w:r>
        <w:rPr>
          <w:rFonts w:hint="eastAsia" w:ascii="宋体" w:hAnsi="宋体"/>
          <w:szCs w:val="20"/>
        </w:rPr>
        <w:t>：</w:t>
      </w:r>
    </w:p>
    <w:p>
      <w:pPr>
        <w:pStyle w:val="21"/>
        <w:ind w:firstLine="386" w:firstLineChars="200"/>
        <w:rPr>
          <w:rFonts w:ascii="宋体" w:hAnsi="宋体"/>
          <w:szCs w:val="20"/>
        </w:rPr>
      </w:pPr>
      <w:r>
        <w:rPr>
          <w:rFonts w:hint="eastAsia" w:ascii="宋体" w:hAnsi="宋体"/>
          <w:szCs w:val="20"/>
        </w:rPr>
        <w:t>（1）提供虚假材料谋取成交的；</w:t>
      </w:r>
    </w:p>
    <w:p>
      <w:pPr>
        <w:pStyle w:val="21"/>
        <w:ind w:firstLine="386" w:firstLineChars="200"/>
        <w:rPr>
          <w:rFonts w:ascii="宋体" w:hAnsi="宋体"/>
          <w:szCs w:val="20"/>
        </w:rPr>
      </w:pPr>
      <w:r>
        <w:rPr>
          <w:rFonts w:hint="eastAsia" w:ascii="宋体" w:hAnsi="宋体"/>
          <w:szCs w:val="20"/>
        </w:rPr>
        <w:t>（2）供应商在磋商文件规定的响应有效期内撤销其响应；</w:t>
      </w:r>
    </w:p>
    <w:p>
      <w:pPr>
        <w:pStyle w:val="21"/>
        <w:ind w:firstLine="386" w:firstLineChars="200"/>
        <w:rPr>
          <w:rFonts w:ascii="宋体" w:hAnsi="宋体"/>
          <w:szCs w:val="20"/>
        </w:rPr>
      </w:pPr>
      <w:r>
        <w:rPr>
          <w:rFonts w:hint="eastAsia" w:ascii="宋体" w:hAnsi="宋体"/>
          <w:szCs w:val="20"/>
        </w:rPr>
        <w:t>（3）成交后，无正当理由放弃成交资格；</w:t>
      </w:r>
    </w:p>
    <w:p>
      <w:pPr>
        <w:pStyle w:val="21"/>
        <w:ind w:firstLine="386" w:firstLineChars="200"/>
        <w:rPr>
          <w:rFonts w:ascii="宋体" w:hAnsi="宋体"/>
          <w:szCs w:val="20"/>
        </w:rPr>
      </w:pPr>
      <w:r>
        <w:rPr>
          <w:rFonts w:hint="eastAsia" w:ascii="宋体" w:hAnsi="宋体"/>
          <w:szCs w:val="20"/>
        </w:rPr>
        <w:t>（4）成交后，无正当理由不与采购人签订合同；</w:t>
      </w:r>
    </w:p>
    <w:p>
      <w:pPr>
        <w:pStyle w:val="21"/>
        <w:ind w:firstLine="386" w:firstLineChars="200"/>
        <w:rPr>
          <w:rFonts w:ascii="宋体" w:hAnsi="宋体"/>
          <w:szCs w:val="20"/>
        </w:rPr>
      </w:pPr>
      <w:r>
        <w:rPr>
          <w:rFonts w:hint="eastAsia" w:ascii="宋体" w:hAnsi="宋体"/>
          <w:szCs w:val="20"/>
        </w:rPr>
        <w:t>（5）法律法规和磋商文件规定的其他情形。</w:t>
      </w:r>
    </w:p>
    <w:p>
      <w:pPr>
        <w:pStyle w:val="129"/>
        <w:numPr>
          <w:ilvl w:val="0"/>
          <w:numId w:val="8"/>
        </w:numPr>
        <w:spacing w:beforeLines="50" w:afterLines="50"/>
        <w:outlineLvl w:val="2"/>
        <w:rPr>
          <w:rFonts w:ascii="宋体" w:hAnsi="宋体"/>
          <w:b/>
          <w:bCs/>
        </w:rPr>
      </w:pPr>
      <w:r>
        <w:rPr>
          <w:rFonts w:hint="eastAsia" w:ascii="宋体" w:hAnsi="宋体"/>
          <w:b/>
          <w:bCs/>
        </w:rPr>
        <w:t>响应有效期</w:t>
      </w:r>
    </w:p>
    <w:p>
      <w:pPr>
        <w:pStyle w:val="21"/>
        <w:ind w:firstLine="386" w:firstLineChars="200"/>
        <w:rPr>
          <w:rFonts w:ascii="宋体" w:hAnsi="宋体"/>
          <w:szCs w:val="20"/>
        </w:rPr>
      </w:pPr>
      <w:r>
        <w:rPr>
          <w:rFonts w:hint="eastAsia" w:ascii="宋体" w:hAnsi="宋体"/>
          <w:szCs w:val="20"/>
        </w:rPr>
        <w:t>6</w:t>
      </w:r>
      <w:r>
        <w:rPr>
          <w:rFonts w:ascii="宋体" w:hAnsi="宋体"/>
          <w:szCs w:val="20"/>
        </w:rPr>
        <w:t>.1</w:t>
      </w:r>
      <w:r>
        <w:rPr>
          <w:rFonts w:hint="eastAsia" w:ascii="宋体" w:hAnsi="宋体"/>
          <w:szCs w:val="20"/>
        </w:rPr>
        <w:t>响应有效期内供应商撤销响应文件的，采购人或者采购代理机构可以不退还响应保证金（如有）。采用响应保函方式替代保证金的，采购人或者采购代理机构可以向担保机构索赔保证金。</w:t>
      </w:r>
    </w:p>
    <w:p>
      <w:pPr>
        <w:pStyle w:val="21"/>
        <w:ind w:firstLine="386" w:firstLineChars="200"/>
        <w:rPr>
          <w:rFonts w:ascii="宋体" w:hAnsi="宋体"/>
          <w:szCs w:val="20"/>
        </w:rPr>
      </w:pPr>
      <w:r>
        <w:rPr>
          <w:rFonts w:hint="eastAsia" w:ascii="宋体" w:hAnsi="宋体"/>
          <w:szCs w:val="20"/>
        </w:rPr>
        <w:t>6</w:t>
      </w:r>
      <w:r>
        <w:rPr>
          <w:rFonts w:ascii="宋体" w:hAnsi="宋体"/>
          <w:szCs w:val="20"/>
        </w:rPr>
        <w:t>.2</w:t>
      </w:r>
      <w:r>
        <w:rPr>
          <w:rFonts w:hint="eastAsia" w:ascii="宋体" w:hAnsi="宋体"/>
          <w:szCs w:val="20"/>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129"/>
        <w:numPr>
          <w:ilvl w:val="0"/>
          <w:numId w:val="8"/>
        </w:numPr>
        <w:spacing w:beforeLines="50" w:afterLines="50"/>
        <w:outlineLvl w:val="2"/>
        <w:rPr>
          <w:rFonts w:ascii="宋体" w:hAnsi="宋体"/>
          <w:b/>
          <w:bCs/>
        </w:rPr>
      </w:pPr>
      <w:r>
        <w:rPr>
          <w:rFonts w:hint="eastAsia" w:ascii="宋体" w:hAnsi="宋体"/>
          <w:b/>
          <w:bCs/>
        </w:rPr>
        <w:t>样品（演示）</w:t>
      </w:r>
    </w:p>
    <w:p>
      <w:pPr>
        <w:pStyle w:val="21"/>
        <w:ind w:firstLine="386" w:firstLineChars="200"/>
        <w:rPr>
          <w:rFonts w:ascii="宋体" w:hAnsi="宋体"/>
          <w:szCs w:val="20"/>
        </w:rPr>
      </w:pPr>
      <w:r>
        <w:rPr>
          <w:rFonts w:hint="eastAsia" w:ascii="宋体" w:hAnsi="宋体"/>
          <w:szCs w:val="20"/>
        </w:rPr>
        <w:t>7</w:t>
      </w:r>
      <w:r>
        <w:rPr>
          <w:rFonts w:ascii="宋体" w:hAnsi="宋体"/>
          <w:szCs w:val="20"/>
        </w:rPr>
        <w:t>.1</w:t>
      </w:r>
      <w:r>
        <w:rPr>
          <w:rFonts w:hint="eastAsia" w:ascii="宋体" w:hAnsi="宋体"/>
          <w:szCs w:val="20"/>
        </w:rPr>
        <w:t>磋商文件规定供应商提交样品的，样品属于响应文件的组成部分。样品的生产、运输、安装、保全等一切费用由供应商自理。</w:t>
      </w:r>
    </w:p>
    <w:p>
      <w:pPr>
        <w:pStyle w:val="21"/>
        <w:ind w:firstLine="386" w:firstLineChars="200"/>
        <w:rPr>
          <w:rFonts w:ascii="宋体" w:hAnsi="宋体"/>
          <w:szCs w:val="20"/>
        </w:rPr>
      </w:pPr>
      <w:r>
        <w:rPr>
          <w:rFonts w:hint="eastAsia" w:ascii="宋体" w:hAnsi="宋体"/>
          <w:szCs w:val="20"/>
        </w:rPr>
        <w:t>7</w:t>
      </w:r>
      <w:r>
        <w:rPr>
          <w:rFonts w:ascii="宋体" w:hAnsi="宋体"/>
          <w:szCs w:val="20"/>
        </w:rPr>
        <w:t>.2</w:t>
      </w:r>
      <w:r>
        <w:rPr>
          <w:rFonts w:hint="eastAsia" w:ascii="宋体" w:hAnsi="宋体"/>
          <w:szCs w:val="20"/>
        </w:rPr>
        <w:t>递交响应文件截止时间前，供应商应将样品送达至指定地点。若需要现场演示的，供应商应提前做好演示准备（包括演示设备）。</w:t>
      </w:r>
    </w:p>
    <w:p>
      <w:pPr>
        <w:pStyle w:val="21"/>
        <w:ind w:firstLine="386" w:firstLineChars="200"/>
        <w:rPr>
          <w:rFonts w:ascii="宋体" w:hAnsi="宋体"/>
          <w:szCs w:val="20"/>
        </w:rPr>
      </w:pPr>
      <w:r>
        <w:rPr>
          <w:rFonts w:hint="eastAsia" w:ascii="宋体" w:hAnsi="宋体"/>
          <w:szCs w:val="20"/>
        </w:rPr>
        <w:t>7</w:t>
      </w:r>
      <w:r>
        <w:rPr>
          <w:rFonts w:ascii="宋体" w:hAnsi="宋体"/>
          <w:szCs w:val="20"/>
        </w:rPr>
        <w:t>.3</w:t>
      </w:r>
      <w:r>
        <w:rPr>
          <w:rFonts w:hint="eastAsia" w:ascii="宋体" w:hAnsi="宋体"/>
          <w:szCs w:val="20"/>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129"/>
        <w:numPr>
          <w:ilvl w:val="0"/>
          <w:numId w:val="8"/>
        </w:numPr>
        <w:spacing w:beforeLines="50" w:afterLines="50"/>
        <w:outlineLvl w:val="2"/>
        <w:rPr>
          <w:rFonts w:ascii="宋体" w:hAnsi="宋体"/>
          <w:b/>
          <w:bCs/>
        </w:rPr>
      </w:pPr>
      <w:r>
        <w:rPr>
          <w:rFonts w:hint="eastAsia" w:ascii="宋体" w:hAnsi="宋体"/>
          <w:b/>
          <w:bCs/>
        </w:rPr>
        <w:t>除磋商文件另有规定外，有下列情形之一的，响应无效：</w:t>
      </w:r>
    </w:p>
    <w:p>
      <w:pPr>
        <w:pStyle w:val="21"/>
        <w:ind w:left="420"/>
        <w:rPr>
          <w:rFonts w:ascii="宋体" w:hAnsi="宋体"/>
          <w:szCs w:val="20"/>
        </w:rPr>
      </w:pPr>
      <w:r>
        <w:rPr>
          <w:rFonts w:hint="eastAsia" w:ascii="宋体" w:hAnsi="宋体"/>
          <w:szCs w:val="20"/>
        </w:rPr>
        <w:t>8</w:t>
      </w:r>
      <w:r>
        <w:rPr>
          <w:rFonts w:ascii="宋体" w:hAnsi="宋体"/>
          <w:szCs w:val="20"/>
        </w:rPr>
        <w:t>.1</w:t>
      </w:r>
      <w:r>
        <w:rPr>
          <w:rFonts w:hint="eastAsia" w:ascii="宋体" w:hAnsi="宋体"/>
          <w:szCs w:val="20"/>
        </w:rPr>
        <w:t>响应文件未按照磋商文件要求签署、盖章；</w:t>
      </w:r>
    </w:p>
    <w:p>
      <w:pPr>
        <w:pStyle w:val="21"/>
        <w:ind w:left="420"/>
        <w:rPr>
          <w:rFonts w:ascii="宋体" w:hAnsi="宋体"/>
          <w:szCs w:val="20"/>
        </w:rPr>
      </w:pPr>
      <w:r>
        <w:rPr>
          <w:rFonts w:ascii="宋体" w:hAnsi="宋体"/>
          <w:szCs w:val="20"/>
        </w:rPr>
        <w:t>8.2</w:t>
      </w:r>
      <w:r>
        <w:rPr>
          <w:rFonts w:hint="eastAsia" w:ascii="宋体" w:hAnsi="宋体"/>
          <w:szCs w:val="20"/>
        </w:rPr>
        <w:t>不符合磋商文件中规定的资格要求；</w:t>
      </w:r>
    </w:p>
    <w:p>
      <w:pPr>
        <w:pStyle w:val="21"/>
        <w:ind w:left="420"/>
        <w:rPr>
          <w:rFonts w:ascii="宋体" w:hAnsi="宋体"/>
          <w:szCs w:val="20"/>
        </w:rPr>
      </w:pPr>
      <w:r>
        <w:rPr>
          <w:rFonts w:ascii="宋体" w:hAnsi="宋体"/>
          <w:szCs w:val="20"/>
        </w:rPr>
        <w:t>8.3</w:t>
      </w:r>
      <w:r>
        <w:rPr>
          <w:rFonts w:hint="eastAsia" w:ascii="宋体" w:hAnsi="宋体"/>
          <w:szCs w:val="20"/>
        </w:rPr>
        <w:t>磋商报价超过磋商文件中规定的预算金额或最高限价；</w:t>
      </w:r>
    </w:p>
    <w:p>
      <w:pPr>
        <w:pStyle w:val="21"/>
        <w:ind w:left="420"/>
        <w:rPr>
          <w:rFonts w:ascii="宋体" w:hAnsi="宋体"/>
          <w:szCs w:val="20"/>
        </w:rPr>
      </w:pPr>
      <w:r>
        <w:rPr>
          <w:rFonts w:ascii="宋体" w:hAnsi="宋体"/>
          <w:szCs w:val="20"/>
        </w:rPr>
        <w:t>8.4</w:t>
      </w:r>
      <w:r>
        <w:rPr>
          <w:rFonts w:hint="eastAsia" w:ascii="宋体" w:hAnsi="宋体"/>
          <w:szCs w:val="20"/>
        </w:rPr>
        <w:t>响应文件含有采购人不能接受的附加条件；</w:t>
      </w:r>
    </w:p>
    <w:p>
      <w:pPr>
        <w:pStyle w:val="21"/>
        <w:ind w:left="420"/>
        <w:rPr>
          <w:rFonts w:ascii="宋体" w:hAnsi="宋体"/>
          <w:szCs w:val="20"/>
        </w:rPr>
      </w:pPr>
      <w:r>
        <w:rPr>
          <w:rFonts w:ascii="宋体" w:hAnsi="宋体"/>
          <w:szCs w:val="20"/>
        </w:rPr>
        <w:t>8.5</w:t>
      </w:r>
      <w:r>
        <w:rPr>
          <w:rFonts w:hint="eastAsia" w:ascii="宋体" w:hAnsi="宋体"/>
          <w:szCs w:val="20"/>
        </w:rPr>
        <w:t>有关法律、法规和规章及磋商文件规定的其他无效情形。</w:t>
      </w:r>
    </w:p>
    <w:p>
      <w:pPr>
        <w:pStyle w:val="5"/>
        <w:numPr>
          <w:ilvl w:val="0"/>
          <w:numId w:val="5"/>
        </w:numPr>
        <w:spacing w:before="120" w:after="120"/>
        <w:ind w:left="0" w:firstLine="0"/>
        <w:rPr>
          <w:rFonts w:ascii="宋体" w:hAnsi="宋体"/>
          <w:sz w:val="21"/>
          <w:szCs w:val="21"/>
        </w:rPr>
      </w:pPr>
      <w:bookmarkStart w:id="45" w:name="_Toc104040693"/>
      <w:r>
        <w:rPr>
          <w:rFonts w:hint="eastAsia" w:ascii="宋体" w:hAnsi="宋体"/>
          <w:sz w:val="21"/>
          <w:szCs w:val="21"/>
        </w:rPr>
        <w:t>磋商、评审和结果</w:t>
      </w:r>
      <w:bookmarkEnd w:id="45"/>
      <w:r>
        <w:rPr>
          <w:rFonts w:hint="eastAsia" w:ascii="宋体" w:hAnsi="宋体"/>
          <w:sz w:val="21"/>
          <w:szCs w:val="21"/>
        </w:rPr>
        <w:t>确认</w:t>
      </w:r>
    </w:p>
    <w:p>
      <w:pPr>
        <w:pStyle w:val="129"/>
        <w:numPr>
          <w:ilvl w:val="0"/>
          <w:numId w:val="9"/>
        </w:numPr>
        <w:spacing w:beforeLines="50" w:afterLines="50"/>
        <w:outlineLvl w:val="2"/>
        <w:rPr>
          <w:rFonts w:ascii="宋体" w:hAnsi="宋体"/>
          <w:b/>
          <w:bCs/>
        </w:rPr>
      </w:pPr>
      <w:r>
        <w:rPr>
          <w:rFonts w:hint="eastAsia" w:ascii="宋体" w:hAnsi="宋体"/>
          <w:b/>
          <w:bCs/>
        </w:rPr>
        <w:t>响应文件的开启</w:t>
      </w:r>
    </w:p>
    <w:p>
      <w:pPr>
        <w:pStyle w:val="21"/>
        <w:ind w:left="420"/>
        <w:rPr>
          <w:rFonts w:ascii="宋体" w:hAnsi="宋体"/>
          <w:szCs w:val="20"/>
        </w:rPr>
      </w:pPr>
      <w:r>
        <w:rPr>
          <w:rFonts w:hint="eastAsia" w:ascii="宋体" w:hAnsi="宋体"/>
          <w:szCs w:val="20"/>
        </w:rPr>
        <w:t>1</w:t>
      </w:r>
      <w:r>
        <w:rPr>
          <w:rFonts w:ascii="宋体" w:hAnsi="宋体"/>
          <w:szCs w:val="20"/>
        </w:rPr>
        <w:t>.1</w:t>
      </w:r>
      <w:r>
        <w:rPr>
          <w:rFonts w:hint="eastAsia" w:ascii="宋体" w:hAnsi="宋体"/>
          <w:szCs w:val="20"/>
        </w:rPr>
        <w:t>开启程序</w:t>
      </w:r>
    </w:p>
    <w:p>
      <w:pPr>
        <w:pStyle w:val="21"/>
        <w:ind w:firstLine="386" w:firstLineChars="200"/>
        <w:rPr>
          <w:rFonts w:ascii="宋体" w:hAnsi="宋体"/>
          <w:szCs w:val="20"/>
        </w:rPr>
      </w:pPr>
      <w:r>
        <w:rPr>
          <w:rFonts w:hint="eastAsia" w:ascii="宋体" w:hAnsi="宋体"/>
          <w:szCs w:val="20"/>
        </w:rPr>
        <w:t>工作人员按磋商公告规定的时间进行开启，由采购人或者采购代理机构工作人员宣布供应商名称和采购文件规定的需要宣布的其他内容。</w:t>
      </w:r>
    </w:p>
    <w:p>
      <w:pPr>
        <w:pStyle w:val="21"/>
        <w:ind w:firstLine="386" w:firstLineChars="200"/>
        <w:rPr>
          <w:rFonts w:ascii="宋体" w:hAnsi="宋体"/>
          <w:szCs w:val="20"/>
        </w:rPr>
      </w:pPr>
      <w:r>
        <w:rPr>
          <w:rFonts w:hint="eastAsia" w:ascii="宋体" w:hAnsi="宋体"/>
          <w:szCs w:val="20"/>
        </w:rPr>
        <w:t>采用现场开启的：供应商的法定代表人或其委托代理人应当携带本人身份证等材料按照本采购公告载明的时间和地点前往参加现场开启会议。</w:t>
      </w:r>
    </w:p>
    <w:p>
      <w:pPr>
        <w:pStyle w:val="21"/>
        <w:ind w:left="420"/>
        <w:rPr>
          <w:rFonts w:ascii="宋体" w:hAnsi="宋体"/>
          <w:szCs w:val="20"/>
        </w:rPr>
      </w:pPr>
      <w:r>
        <w:rPr>
          <w:rFonts w:ascii="宋体" w:hAnsi="宋体"/>
          <w:szCs w:val="20"/>
        </w:rPr>
        <w:t>1.2</w:t>
      </w:r>
      <w:r>
        <w:rPr>
          <w:rFonts w:hint="eastAsia" w:ascii="宋体" w:hAnsi="宋体"/>
          <w:szCs w:val="20"/>
        </w:rPr>
        <w:t>异议</w:t>
      </w:r>
    </w:p>
    <w:p>
      <w:pPr>
        <w:pStyle w:val="21"/>
        <w:ind w:firstLine="386" w:firstLineChars="200"/>
        <w:rPr>
          <w:rFonts w:ascii="宋体" w:hAnsi="宋体"/>
          <w:szCs w:val="20"/>
        </w:rPr>
      </w:pPr>
      <w:r>
        <w:rPr>
          <w:rFonts w:hint="eastAsia" w:ascii="宋体" w:hAnsi="宋体"/>
          <w:szCs w:val="20"/>
        </w:rPr>
        <w:t>供应商代表对开启过程和开启记录有疑义，以及认为采购人、采购代理机构相关工作人员有需要回避的情形的，应当场提出询问或者回避申请。供应商未参加开启的，视同认可开启结果。</w:t>
      </w:r>
    </w:p>
    <w:p>
      <w:pPr>
        <w:pStyle w:val="129"/>
        <w:numPr>
          <w:ilvl w:val="0"/>
          <w:numId w:val="9"/>
        </w:numPr>
        <w:spacing w:beforeLines="50" w:afterLines="50"/>
        <w:outlineLvl w:val="2"/>
        <w:rPr>
          <w:rFonts w:ascii="宋体" w:hAnsi="宋体"/>
          <w:b/>
          <w:bCs/>
        </w:rPr>
      </w:pPr>
      <w:r>
        <w:rPr>
          <w:rFonts w:hint="eastAsia" w:ascii="宋体" w:hAnsi="宋体"/>
          <w:b/>
          <w:bCs/>
        </w:rPr>
        <w:t>评审（详见第四章）</w:t>
      </w:r>
    </w:p>
    <w:p>
      <w:pPr>
        <w:pStyle w:val="129"/>
        <w:numPr>
          <w:ilvl w:val="0"/>
          <w:numId w:val="9"/>
        </w:numPr>
        <w:spacing w:beforeLines="50" w:afterLines="50"/>
        <w:outlineLvl w:val="2"/>
        <w:rPr>
          <w:rFonts w:ascii="宋体" w:hAnsi="宋体"/>
          <w:b/>
          <w:bCs/>
        </w:rPr>
      </w:pPr>
      <w:r>
        <w:rPr>
          <w:rFonts w:hint="eastAsia" w:ascii="宋体" w:hAnsi="宋体"/>
          <w:b/>
          <w:bCs/>
        </w:rPr>
        <w:t>成交</w:t>
      </w:r>
    </w:p>
    <w:p>
      <w:pPr>
        <w:pStyle w:val="21"/>
        <w:ind w:left="420"/>
        <w:rPr>
          <w:rFonts w:ascii="宋体" w:hAnsi="宋体"/>
          <w:szCs w:val="20"/>
        </w:rPr>
      </w:pPr>
      <w:r>
        <w:rPr>
          <w:rFonts w:hint="eastAsia" w:ascii="宋体" w:hAnsi="宋体"/>
          <w:szCs w:val="20"/>
        </w:rPr>
        <w:t>3</w:t>
      </w:r>
      <w:r>
        <w:rPr>
          <w:rFonts w:ascii="宋体" w:hAnsi="宋体"/>
          <w:szCs w:val="20"/>
        </w:rPr>
        <w:t>.1</w:t>
      </w:r>
      <w:r>
        <w:rPr>
          <w:rFonts w:hint="eastAsia" w:ascii="宋体" w:hAnsi="宋体"/>
          <w:szCs w:val="20"/>
        </w:rPr>
        <w:t>成交结果公告：</w:t>
      </w:r>
    </w:p>
    <w:p>
      <w:pPr>
        <w:pStyle w:val="21"/>
        <w:ind w:firstLine="386" w:firstLineChars="200"/>
        <w:rPr>
          <w:rFonts w:ascii="宋体" w:hAnsi="宋体"/>
          <w:szCs w:val="20"/>
        </w:rPr>
      </w:pPr>
      <w:r>
        <w:rPr>
          <w:rFonts w:hint="eastAsia" w:ascii="宋体" w:hAnsi="宋体"/>
          <w:szCs w:val="20"/>
        </w:rPr>
        <w:t>成交供应商确定之日起2个工作日内，采购人或采购代理机构将在相关公告发布媒介（与采购公告发布媒介一致）上以公告的形式发布成交结果，结果公告的公告期限为</w:t>
      </w:r>
      <w:r>
        <w:rPr>
          <w:rFonts w:ascii="宋体" w:hAnsi="宋体"/>
          <w:szCs w:val="20"/>
        </w:rPr>
        <w:t>1</w:t>
      </w:r>
      <w:r>
        <w:rPr>
          <w:rFonts w:hint="eastAsia" w:ascii="宋体" w:hAnsi="宋体"/>
          <w:szCs w:val="20"/>
        </w:rPr>
        <w:t>个工作日。结果公告同时作为采购代理机构通知除成交供应商外的其他供应商没有成交的书面形式，采购代理机构不再以其它方式另行通知。</w:t>
      </w:r>
    </w:p>
    <w:p>
      <w:pPr>
        <w:pStyle w:val="21"/>
        <w:ind w:left="420"/>
        <w:rPr>
          <w:rFonts w:ascii="宋体" w:hAnsi="宋体"/>
          <w:szCs w:val="20"/>
        </w:rPr>
      </w:pPr>
      <w:r>
        <w:rPr>
          <w:rFonts w:hint="eastAsia" w:ascii="宋体" w:hAnsi="宋体"/>
          <w:szCs w:val="20"/>
        </w:rPr>
        <w:t>3</w:t>
      </w:r>
      <w:r>
        <w:rPr>
          <w:rFonts w:ascii="宋体" w:hAnsi="宋体"/>
          <w:szCs w:val="20"/>
        </w:rPr>
        <w:t>.2</w:t>
      </w:r>
      <w:r>
        <w:rPr>
          <w:rFonts w:hint="eastAsia" w:ascii="宋体" w:hAnsi="宋体"/>
          <w:szCs w:val="20"/>
        </w:rPr>
        <w:t>成交通知书：</w:t>
      </w:r>
    </w:p>
    <w:p>
      <w:pPr>
        <w:pStyle w:val="21"/>
        <w:ind w:firstLine="386" w:firstLineChars="200"/>
        <w:rPr>
          <w:rFonts w:ascii="宋体" w:hAnsi="宋体"/>
          <w:szCs w:val="20"/>
        </w:rPr>
      </w:pPr>
      <w:r>
        <w:rPr>
          <w:rFonts w:hint="eastAsia" w:ascii="宋体" w:hAnsi="宋体"/>
          <w:szCs w:val="20"/>
        </w:rPr>
        <w:t>采购人或采购代理机构在发布结果公告时，将给成交供应商发送《成交通知书》，《成交通知书》将作为授予合同资格的唯一合法依据。成交通知书发出后，采购人不得违法改变成交结果，成交供应商不得放弃成交。成交供应商放弃成交的，应当依法承担相应的法律责任。</w:t>
      </w:r>
    </w:p>
    <w:p>
      <w:pPr>
        <w:pStyle w:val="21"/>
        <w:ind w:left="420"/>
        <w:rPr>
          <w:rFonts w:ascii="宋体" w:hAnsi="宋体"/>
          <w:szCs w:val="20"/>
        </w:rPr>
      </w:pPr>
      <w:r>
        <w:rPr>
          <w:rFonts w:hint="eastAsia" w:ascii="宋体" w:hAnsi="宋体"/>
          <w:szCs w:val="20"/>
        </w:rPr>
        <w:t>3</w:t>
      </w:r>
      <w:r>
        <w:rPr>
          <w:rFonts w:ascii="宋体" w:hAnsi="宋体"/>
          <w:szCs w:val="20"/>
        </w:rPr>
        <w:t>.3</w:t>
      </w:r>
      <w:r>
        <w:rPr>
          <w:rFonts w:hint="eastAsia" w:ascii="宋体" w:hAnsi="宋体"/>
          <w:szCs w:val="20"/>
        </w:rPr>
        <w:t>终止公告：</w:t>
      </w:r>
    </w:p>
    <w:p>
      <w:pPr>
        <w:pStyle w:val="21"/>
        <w:ind w:firstLine="386" w:firstLineChars="200"/>
        <w:rPr>
          <w:rFonts w:ascii="宋体" w:hAnsi="宋体"/>
          <w:szCs w:val="20"/>
        </w:rPr>
      </w:pPr>
      <w:r>
        <w:rPr>
          <w:rFonts w:hint="eastAsia" w:ascii="宋体" w:hAnsi="宋体"/>
          <w:szCs w:val="20"/>
        </w:rPr>
        <w:t>终止磋商采购活动后，采购人或采购代理机构将在相关公告发布媒介（与采购公告发布媒介一致）上发布终止公告，终止公告的公告期限为</w:t>
      </w:r>
      <w:r>
        <w:rPr>
          <w:rFonts w:ascii="宋体" w:hAnsi="宋体"/>
          <w:szCs w:val="20"/>
        </w:rPr>
        <w:t>1</w:t>
      </w:r>
      <w:r>
        <w:rPr>
          <w:rFonts w:hint="eastAsia" w:ascii="宋体" w:hAnsi="宋体"/>
          <w:szCs w:val="20"/>
        </w:rPr>
        <w:t>个工作日。</w:t>
      </w:r>
    </w:p>
    <w:p>
      <w:pPr>
        <w:pStyle w:val="5"/>
        <w:numPr>
          <w:ilvl w:val="0"/>
          <w:numId w:val="5"/>
        </w:numPr>
        <w:spacing w:before="120" w:after="120"/>
        <w:ind w:left="0" w:firstLine="0"/>
        <w:rPr>
          <w:rFonts w:ascii="宋体" w:hAnsi="宋体"/>
          <w:sz w:val="21"/>
          <w:szCs w:val="21"/>
        </w:rPr>
      </w:pPr>
      <w:bookmarkStart w:id="46" w:name="_Toc104040694"/>
      <w:r>
        <w:rPr>
          <w:rFonts w:hint="eastAsia" w:ascii="宋体" w:hAnsi="宋体"/>
          <w:sz w:val="21"/>
          <w:szCs w:val="21"/>
        </w:rPr>
        <w:t>询问、质疑与投诉</w:t>
      </w:r>
      <w:bookmarkEnd w:id="46"/>
    </w:p>
    <w:p>
      <w:pPr>
        <w:pStyle w:val="129"/>
        <w:numPr>
          <w:ilvl w:val="0"/>
          <w:numId w:val="10"/>
        </w:numPr>
        <w:spacing w:beforeLines="50" w:afterLines="50"/>
        <w:outlineLvl w:val="2"/>
        <w:rPr>
          <w:rFonts w:ascii="宋体" w:hAnsi="宋体"/>
          <w:b/>
          <w:bCs/>
        </w:rPr>
      </w:pPr>
      <w:r>
        <w:rPr>
          <w:rFonts w:hint="eastAsia" w:ascii="宋体" w:hAnsi="宋体"/>
          <w:b/>
          <w:bCs/>
        </w:rPr>
        <w:t>询问</w:t>
      </w:r>
    </w:p>
    <w:p>
      <w:pPr>
        <w:pStyle w:val="21"/>
        <w:ind w:firstLine="386" w:firstLineChars="200"/>
        <w:rPr>
          <w:rFonts w:ascii="宋体" w:hAnsi="宋体"/>
          <w:szCs w:val="20"/>
        </w:rPr>
      </w:pPr>
      <w:r>
        <w:rPr>
          <w:rFonts w:hint="eastAsia" w:ascii="宋体" w:hAnsi="宋体"/>
          <w:szCs w:val="20"/>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磋商邀请》中“采购人、采购代理机构的名称、地址和联系方式”。</w:t>
      </w:r>
    </w:p>
    <w:p>
      <w:pPr>
        <w:pStyle w:val="129"/>
        <w:numPr>
          <w:ilvl w:val="0"/>
          <w:numId w:val="10"/>
        </w:numPr>
        <w:spacing w:beforeLines="50" w:afterLines="50"/>
        <w:outlineLvl w:val="2"/>
        <w:rPr>
          <w:rFonts w:ascii="宋体" w:hAnsi="宋体"/>
          <w:b/>
          <w:bCs/>
        </w:rPr>
      </w:pPr>
      <w:r>
        <w:rPr>
          <w:rFonts w:hint="eastAsia" w:ascii="宋体" w:hAnsi="宋体"/>
          <w:b/>
          <w:bCs/>
        </w:rPr>
        <w:t>质疑</w:t>
      </w:r>
    </w:p>
    <w:p>
      <w:pPr>
        <w:pStyle w:val="21"/>
        <w:ind w:firstLine="386" w:firstLineChars="200"/>
        <w:rPr>
          <w:rFonts w:ascii="宋体" w:hAnsi="宋体"/>
          <w:szCs w:val="20"/>
        </w:rPr>
      </w:pPr>
      <w:r>
        <w:rPr>
          <w:rFonts w:hint="eastAsia" w:ascii="宋体" w:hAnsi="宋体"/>
          <w:szCs w:val="20"/>
        </w:rPr>
        <w:t>2</w:t>
      </w:r>
      <w:r>
        <w:rPr>
          <w:rFonts w:ascii="宋体" w:hAnsi="宋体"/>
          <w:szCs w:val="20"/>
        </w:rPr>
        <w:t>.1</w:t>
      </w:r>
      <w:r>
        <w:rPr>
          <w:rFonts w:hint="eastAsia" w:ascii="宋体" w:hAnsi="宋体"/>
          <w:szCs w:val="20"/>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21"/>
        <w:ind w:firstLine="386" w:firstLineChars="200"/>
        <w:rPr>
          <w:rFonts w:ascii="宋体" w:hAnsi="宋体"/>
          <w:szCs w:val="20"/>
        </w:rPr>
      </w:pPr>
      <w:r>
        <w:rPr>
          <w:rFonts w:hint="eastAsia" w:ascii="宋体" w:hAnsi="宋体"/>
          <w:szCs w:val="20"/>
        </w:rPr>
        <w:t>（1）对磋商文件提出质疑的，为获取磋商文件之日或者磋商文件公告期限届满之日；</w:t>
      </w:r>
    </w:p>
    <w:p>
      <w:pPr>
        <w:pStyle w:val="21"/>
        <w:ind w:firstLine="386" w:firstLineChars="200"/>
        <w:rPr>
          <w:rFonts w:ascii="宋体" w:hAnsi="宋体"/>
          <w:szCs w:val="20"/>
        </w:rPr>
      </w:pPr>
      <w:r>
        <w:rPr>
          <w:rFonts w:hint="eastAsia" w:ascii="宋体" w:hAnsi="宋体"/>
          <w:szCs w:val="20"/>
        </w:rPr>
        <w:t>（2）对采购过程提出质疑的，为各采购程序环节结束之日；</w:t>
      </w:r>
    </w:p>
    <w:p>
      <w:pPr>
        <w:pStyle w:val="21"/>
        <w:ind w:firstLine="386" w:firstLineChars="200"/>
        <w:rPr>
          <w:rFonts w:ascii="宋体" w:hAnsi="宋体"/>
          <w:szCs w:val="20"/>
        </w:rPr>
      </w:pPr>
      <w:r>
        <w:rPr>
          <w:rFonts w:hint="eastAsia" w:ascii="宋体" w:hAnsi="宋体"/>
          <w:szCs w:val="20"/>
        </w:rPr>
        <w:t>（3）对成交结果提出质疑的，为成交结果公告期限届满之日。</w:t>
      </w:r>
    </w:p>
    <w:p>
      <w:pPr>
        <w:pStyle w:val="21"/>
        <w:ind w:firstLine="386" w:firstLineChars="200"/>
        <w:rPr>
          <w:rFonts w:ascii="宋体" w:hAnsi="宋体"/>
          <w:szCs w:val="20"/>
        </w:rPr>
      </w:pPr>
      <w:r>
        <w:rPr>
          <w:rFonts w:hint="eastAsia" w:ascii="宋体" w:hAnsi="宋体"/>
          <w:szCs w:val="20"/>
        </w:rPr>
        <w:t>2</w:t>
      </w:r>
      <w:r>
        <w:rPr>
          <w:rFonts w:ascii="宋体" w:hAnsi="宋体"/>
          <w:szCs w:val="20"/>
        </w:rPr>
        <w:t>.2</w:t>
      </w:r>
      <w:r>
        <w:rPr>
          <w:rFonts w:hint="eastAsia" w:ascii="宋体" w:hAnsi="宋体"/>
          <w:szCs w:val="20"/>
        </w:rPr>
        <w:t>质疑函应当包括下列主要内容：</w:t>
      </w:r>
    </w:p>
    <w:p>
      <w:pPr>
        <w:pStyle w:val="21"/>
        <w:ind w:firstLine="386" w:firstLineChars="200"/>
        <w:rPr>
          <w:rFonts w:ascii="宋体" w:hAnsi="宋体"/>
          <w:szCs w:val="20"/>
        </w:rPr>
      </w:pPr>
      <w:r>
        <w:rPr>
          <w:rFonts w:hint="eastAsia" w:ascii="宋体" w:hAnsi="宋体"/>
          <w:szCs w:val="20"/>
        </w:rPr>
        <w:t>（1）质疑供应商和相关供应商的名称、地址、邮编、联系人及联系电话等；</w:t>
      </w:r>
    </w:p>
    <w:p>
      <w:pPr>
        <w:pStyle w:val="21"/>
        <w:ind w:firstLine="386" w:firstLineChars="200"/>
        <w:rPr>
          <w:rFonts w:ascii="宋体" w:hAnsi="宋体"/>
          <w:szCs w:val="20"/>
        </w:rPr>
      </w:pPr>
      <w:r>
        <w:rPr>
          <w:rFonts w:hint="eastAsia" w:ascii="宋体" w:hAnsi="宋体"/>
          <w:szCs w:val="20"/>
        </w:rPr>
        <w:t>（2）质疑项目名称及编号、具体明确的质疑事项和与质疑事项相关的请求；</w:t>
      </w:r>
    </w:p>
    <w:p>
      <w:pPr>
        <w:pStyle w:val="21"/>
        <w:ind w:firstLine="386" w:firstLineChars="200"/>
        <w:rPr>
          <w:rFonts w:ascii="宋体" w:hAnsi="宋体"/>
          <w:szCs w:val="20"/>
        </w:rPr>
      </w:pPr>
      <w:r>
        <w:rPr>
          <w:rFonts w:hint="eastAsia" w:ascii="宋体" w:hAnsi="宋体"/>
          <w:szCs w:val="20"/>
        </w:rPr>
        <w:t>（3）认为磋商文件、采购过程和成交结果使自己的合法权益受到损害的法律依据、事实依据、相关证明材料及证据来源；</w:t>
      </w:r>
    </w:p>
    <w:p>
      <w:pPr>
        <w:pStyle w:val="21"/>
        <w:ind w:firstLine="386" w:firstLineChars="200"/>
        <w:rPr>
          <w:rFonts w:ascii="宋体" w:hAnsi="宋体"/>
          <w:szCs w:val="20"/>
        </w:rPr>
      </w:pPr>
      <w:r>
        <w:rPr>
          <w:rFonts w:hint="eastAsia" w:ascii="宋体" w:hAnsi="宋体"/>
          <w:szCs w:val="20"/>
        </w:rPr>
        <w:t>（4）提出质疑的日期。</w:t>
      </w:r>
    </w:p>
    <w:p>
      <w:pPr>
        <w:pStyle w:val="21"/>
        <w:ind w:firstLine="386" w:firstLineChars="200"/>
        <w:rPr>
          <w:rFonts w:ascii="宋体" w:hAnsi="宋体"/>
          <w:szCs w:val="20"/>
        </w:rPr>
      </w:pPr>
      <w:r>
        <w:rPr>
          <w:rFonts w:hint="eastAsia" w:ascii="宋体" w:hAnsi="宋体"/>
          <w:szCs w:val="20"/>
        </w:rPr>
        <w:t>2</w:t>
      </w:r>
      <w:r>
        <w:rPr>
          <w:rFonts w:ascii="宋体" w:hAnsi="宋体"/>
          <w:szCs w:val="20"/>
        </w:rPr>
        <w:t>.3</w:t>
      </w:r>
      <w:r>
        <w:rPr>
          <w:rFonts w:hint="eastAsia" w:ascii="宋体" w:hAnsi="宋体"/>
          <w:szCs w:val="20"/>
        </w:rPr>
        <w:t>质疑函应当署名。质疑供应商为自然人的，应当由本人签字；质疑供应商为法人或者其他组织的，应当由法定代表人、主要负责人，或者其授权代表签字或者盖章，并加盖公章。</w:t>
      </w:r>
    </w:p>
    <w:p>
      <w:pPr>
        <w:pStyle w:val="21"/>
        <w:ind w:firstLine="386" w:firstLineChars="200"/>
        <w:rPr>
          <w:rFonts w:ascii="宋体" w:hAnsi="宋体"/>
          <w:szCs w:val="20"/>
        </w:rPr>
      </w:pPr>
      <w:r>
        <w:rPr>
          <w:rFonts w:hint="eastAsia" w:ascii="宋体" w:hAnsi="宋体"/>
          <w:szCs w:val="20"/>
        </w:rPr>
        <w:t>2</w:t>
      </w:r>
      <w:r>
        <w:rPr>
          <w:rFonts w:ascii="宋体" w:hAnsi="宋体"/>
          <w:szCs w:val="20"/>
        </w:rPr>
        <w:t>.4</w:t>
      </w:r>
      <w:r>
        <w:rPr>
          <w:rFonts w:hint="eastAsia" w:ascii="宋体" w:hAnsi="宋体"/>
          <w:szCs w:val="20"/>
        </w:rPr>
        <w:t>以联合体形式参加采购活动的，其质疑应当由联合体成员委托主体提出。</w:t>
      </w:r>
    </w:p>
    <w:p>
      <w:pPr>
        <w:pStyle w:val="21"/>
        <w:widowControl w:val="0"/>
        <w:ind w:firstLine="386" w:firstLineChars="200"/>
        <w:rPr>
          <w:rFonts w:ascii="宋体" w:hAnsi="宋体"/>
          <w:szCs w:val="20"/>
        </w:rPr>
      </w:pPr>
      <w:r>
        <w:rPr>
          <w:rFonts w:ascii="宋体" w:hAnsi="宋体"/>
          <w:szCs w:val="20"/>
        </w:rPr>
        <w:t>2.5</w:t>
      </w:r>
      <w:r>
        <w:rPr>
          <w:rFonts w:hint="eastAsia" w:ascii="宋体" w:hAnsi="宋体"/>
          <w:szCs w:val="20"/>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pPr>
        <w:pStyle w:val="21"/>
        <w:widowControl w:val="0"/>
        <w:ind w:firstLine="386" w:firstLineChars="200"/>
        <w:rPr>
          <w:rFonts w:ascii="宋体" w:hAnsi="宋体"/>
          <w:szCs w:val="20"/>
        </w:rPr>
      </w:pPr>
      <w:r>
        <w:rPr>
          <w:rFonts w:hint="eastAsia" w:ascii="宋体" w:hAnsi="宋体"/>
          <w:szCs w:val="20"/>
        </w:rPr>
        <w:t>2</w:t>
      </w:r>
      <w:r>
        <w:rPr>
          <w:rFonts w:ascii="宋体" w:hAnsi="宋体"/>
          <w:szCs w:val="20"/>
        </w:rPr>
        <w:t>.6</w:t>
      </w:r>
      <w:r>
        <w:rPr>
          <w:rFonts w:hint="eastAsia" w:ascii="宋体" w:hAnsi="宋体"/>
          <w:szCs w:val="20"/>
        </w:rPr>
        <w:t>质疑联系方式如下：</w:t>
      </w:r>
    </w:p>
    <w:p>
      <w:pPr>
        <w:pStyle w:val="21"/>
        <w:widowControl w:val="0"/>
        <w:ind w:firstLine="386" w:firstLineChars="200"/>
        <w:rPr>
          <w:rFonts w:ascii="宋体" w:hAnsi="宋体"/>
          <w:szCs w:val="20"/>
        </w:rPr>
      </w:pPr>
      <w:r>
        <w:rPr>
          <w:rFonts w:hint="eastAsia" w:ascii="宋体" w:hAnsi="宋体"/>
          <w:szCs w:val="20"/>
        </w:rPr>
        <w:t>质疑联系人：詹先生</w:t>
      </w:r>
    </w:p>
    <w:p>
      <w:pPr>
        <w:pStyle w:val="21"/>
        <w:widowControl w:val="0"/>
        <w:ind w:firstLine="386" w:firstLineChars="200"/>
        <w:rPr>
          <w:rFonts w:ascii="宋体" w:hAnsi="宋体"/>
          <w:szCs w:val="20"/>
        </w:rPr>
      </w:pPr>
      <w:r>
        <w:rPr>
          <w:rFonts w:hint="eastAsia" w:ascii="宋体" w:hAnsi="宋体"/>
          <w:szCs w:val="20"/>
        </w:rPr>
        <w:t>电话：</w:t>
      </w:r>
      <w:r>
        <w:rPr>
          <w:rFonts w:ascii="宋体" w:hAnsi="宋体"/>
          <w:szCs w:val="20"/>
        </w:rPr>
        <w:t>0668-2998639</w:t>
      </w:r>
    </w:p>
    <w:p>
      <w:pPr>
        <w:pStyle w:val="21"/>
        <w:widowControl w:val="0"/>
        <w:ind w:firstLine="386" w:firstLineChars="200"/>
        <w:rPr>
          <w:rFonts w:ascii="宋体" w:hAnsi="宋体"/>
          <w:szCs w:val="20"/>
        </w:rPr>
      </w:pPr>
      <w:r>
        <w:rPr>
          <w:rFonts w:hint="eastAsia" w:ascii="宋体" w:hAnsi="宋体"/>
          <w:szCs w:val="20"/>
        </w:rPr>
        <w:t>地址：茂名市光华南路118号润威商厦</w:t>
      </w:r>
      <w:r>
        <w:rPr>
          <w:rFonts w:ascii="宋体" w:hAnsi="宋体"/>
          <w:szCs w:val="20"/>
        </w:rPr>
        <w:t>6</w:t>
      </w:r>
      <w:r>
        <w:rPr>
          <w:rFonts w:hint="eastAsia" w:ascii="宋体" w:hAnsi="宋体"/>
          <w:szCs w:val="20"/>
        </w:rPr>
        <w:t>02室</w:t>
      </w:r>
    </w:p>
    <w:p>
      <w:pPr>
        <w:pStyle w:val="358"/>
        <w:widowControl w:val="0"/>
        <w:ind w:firstLine="385"/>
        <w:rPr>
          <w:sz w:val="21"/>
          <w:szCs w:val="21"/>
          <w:lang w:eastAsia="zh-CN"/>
        </w:rPr>
      </w:pPr>
      <w:r>
        <w:rPr>
          <w:rFonts w:hint="eastAsia"/>
          <w:sz w:val="21"/>
          <w:szCs w:val="21"/>
          <w:lang w:eastAsia="zh-CN"/>
        </w:rPr>
        <w:t>邮编：</w:t>
      </w:r>
      <w:r>
        <w:rPr>
          <w:sz w:val="21"/>
          <w:szCs w:val="21"/>
          <w:lang w:eastAsia="zh-CN"/>
        </w:rPr>
        <w:t>525000</w:t>
      </w:r>
    </w:p>
    <w:p>
      <w:pPr>
        <w:pStyle w:val="358"/>
        <w:widowControl w:val="0"/>
        <w:ind w:firstLine="385"/>
        <w:rPr>
          <w:sz w:val="21"/>
          <w:szCs w:val="21"/>
          <w:lang w:eastAsia="zh-CN"/>
        </w:rPr>
      </w:pPr>
      <w:r>
        <w:rPr>
          <w:rFonts w:hint="eastAsia"/>
          <w:sz w:val="21"/>
          <w:szCs w:val="21"/>
          <w:lang w:eastAsia="zh-CN"/>
        </w:rPr>
        <w:t>2</w:t>
      </w:r>
      <w:r>
        <w:rPr>
          <w:sz w:val="21"/>
          <w:szCs w:val="21"/>
          <w:lang w:eastAsia="zh-CN"/>
        </w:rPr>
        <w:t xml:space="preserve">.7 </w:t>
      </w:r>
      <w:r>
        <w:rPr>
          <w:rFonts w:hint="eastAsia"/>
          <w:sz w:val="21"/>
          <w:szCs w:val="21"/>
          <w:lang w:eastAsia="zh-CN"/>
        </w:rPr>
        <w:t>质疑提交方式</w:t>
      </w:r>
    </w:p>
    <w:p>
      <w:pPr>
        <w:pStyle w:val="358"/>
        <w:ind w:firstLine="385"/>
        <w:rPr>
          <w:sz w:val="21"/>
          <w:szCs w:val="21"/>
          <w:lang w:eastAsia="zh-CN"/>
        </w:rPr>
      </w:pPr>
      <w:r>
        <w:rPr>
          <w:rFonts w:hint="eastAsia"/>
          <w:sz w:val="21"/>
          <w:szCs w:val="21"/>
          <w:lang w:eastAsia="zh-CN"/>
        </w:rPr>
        <w:t>在法定质疑期内现场提交、邮寄、快递（不接收到付件）。邮寄、快递收件地址和收件人信息详见以上质疑联系方式。</w:t>
      </w:r>
    </w:p>
    <w:p>
      <w:pPr>
        <w:pStyle w:val="358"/>
        <w:ind w:firstLine="385"/>
        <w:rPr>
          <w:sz w:val="21"/>
          <w:szCs w:val="21"/>
          <w:lang w:eastAsia="zh-CN"/>
        </w:rPr>
      </w:pPr>
      <w:r>
        <w:rPr>
          <w:rFonts w:hint="eastAsia"/>
          <w:sz w:val="21"/>
          <w:szCs w:val="21"/>
          <w:lang w:eastAsia="zh-CN"/>
        </w:rPr>
        <w:t>（1）</w:t>
      </w:r>
      <w:r>
        <w:rPr>
          <w:sz w:val="21"/>
          <w:szCs w:val="21"/>
          <w:lang w:eastAsia="zh-CN"/>
        </w:rPr>
        <w:t>以邮寄、快递方式递交的，质疑提起日期应当以邮寄件上的戳记日期、邮政快递件上的戳记日期或非邮政快递件上的签注日期，受理日期为</w:t>
      </w:r>
      <w:r>
        <w:rPr>
          <w:rFonts w:hint="eastAsia"/>
          <w:sz w:val="21"/>
          <w:szCs w:val="21"/>
          <w:lang w:eastAsia="zh-CN"/>
        </w:rPr>
        <w:t>广东达禾工程管理有限公司</w:t>
      </w:r>
      <w:r>
        <w:rPr>
          <w:sz w:val="21"/>
          <w:szCs w:val="21"/>
          <w:lang w:eastAsia="zh-CN"/>
        </w:rPr>
        <w:t>收到符合规定的质疑材料之日。若质疑材料不符合受理条件的，</w:t>
      </w:r>
      <w:r>
        <w:rPr>
          <w:rFonts w:hint="eastAsia"/>
          <w:sz w:val="21"/>
          <w:szCs w:val="21"/>
          <w:lang w:eastAsia="zh-CN"/>
        </w:rPr>
        <w:t>广东达禾工程管理有限公司</w:t>
      </w:r>
      <w:r>
        <w:rPr>
          <w:sz w:val="21"/>
          <w:szCs w:val="21"/>
          <w:lang w:eastAsia="zh-CN"/>
        </w:rPr>
        <w:t>向供应商出具不符合质疑条件告知书。</w:t>
      </w:r>
    </w:p>
    <w:p>
      <w:pPr>
        <w:pStyle w:val="358"/>
        <w:wordWrap w:val="0"/>
        <w:ind w:firstLine="385"/>
        <w:rPr>
          <w:sz w:val="21"/>
          <w:szCs w:val="20"/>
          <w:lang w:eastAsia="zh-CN"/>
        </w:rPr>
      </w:pPr>
      <w:r>
        <w:rPr>
          <w:rFonts w:hint="eastAsia"/>
          <w:sz w:val="21"/>
          <w:szCs w:val="21"/>
          <w:lang w:eastAsia="zh-CN"/>
        </w:rPr>
        <w:t>（2）</w:t>
      </w:r>
      <w:r>
        <w:rPr>
          <w:sz w:val="21"/>
          <w:szCs w:val="21"/>
          <w:lang w:eastAsia="zh-CN"/>
        </w:rPr>
        <w:t>以邮寄、快递方式递交质疑函的，质疑人可以在质疑有效期内通过电话</w:t>
      </w:r>
      <w:r>
        <w:rPr>
          <w:rFonts w:hint="eastAsia"/>
          <w:sz w:val="21"/>
          <w:szCs w:val="21"/>
          <w:lang w:eastAsia="zh-CN"/>
        </w:rPr>
        <w:t>、邮件等</w:t>
      </w:r>
      <w:r>
        <w:rPr>
          <w:sz w:val="21"/>
          <w:szCs w:val="21"/>
          <w:lang w:eastAsia="zh-CN"/>
        </w:rPr>
        <w:t>方式及时将质疑事项告知</w:t>
      </w:r>
      <w:r>
        <w:rPr>
          <w:rFonts w:hint="eastAsia"/>
          <w:sz w:val="21"/>
          <w:szCs w:val="21"/>
          <w:lang w:eastAsia="zh-CN"/>
        </w:rPr>
        <w:t>广东达禾工程管理有限公司</w:t>
      </w:r>
      <w:r>
        <w:rPr>
          <w:sz w:val="21"/>
          <w:szCs w:val="21"/>
          <w:lang w:eastAsia="zh-CN"/>
        </w:rPr>
        <w:t>，同时提供邮寄件、快递件的有效查询方式。递交质疑函后，质疑人可以通过电子邮件等方式将质疑函的文字内容发送至</w:t>
      </w:r>
      <w:r>
        <w:rPr>
          <w:rFonts w:hint="eastAsia"/>
          <w:sz w:val="21"/>
          <w:szCs w:val="21"/>
          <w:lang w:eastAsia="zh-CN"/>
        </w:rPr>
        <w:t>广东达禾工程管理有限公司</w:t>
      </w:r>
      <w:r>
        <w:rPr>
          <w:sz w:val="21"/>
          <w:szCs w:val="21"/>
          <w:lang w:eastAsia="zh-CN"/>
        </w:rPr>
        <w:t>电子邮箱（gddhzb@163.com）。</w:t>
      </w:r>
    </w:p>
    <w:p>
      <w:pPr>
        <w:pStyle w:val="129"/>
        <w:numPr>
          <w:ilvl w:val="0"/>
          <w:numId w:val="10"/>
        </w:numPr>
        <w:spacing w:beforeLines="50" w:afterLines="50"/>
        <w:outlineLvl w:val="2"/>
        <w:rPr>
          <w:rFonts w:ascii="宋体" w:hAnsi="宋体"/>
          <w:b/>
          <w:bCs/>
        </w:rPr>
      </w:pPr>
      <w:r>
        <w:rPr>
          <w:rFonts w:hint="eastAsia" w:ascii="宋体" w:hAnsi="宋体"/>
          <w:b/>
          <w:bCs/>
        </w:rPr>
        <w:t>投诉</w:t>
      </w:r>
    </w:p>
    <w:p>
      <w:pPr>
        <w:pStyle w:val="21"/>
        <w:ind w:firstLine="386" w:firstLineChars="200"/>
        <w:rPr>
          <w:rFonts w:ascii="宋体" w:hAnsi="宋体"/>
          <w:szCs w:val="20"/>
        </w:rPr>
      </w:pPr>
      <w:r>
        <w:rPr>
          <w:rFonts w:hint="eastAsia" w:ascii="宋体" w:hAnsi="宋体"/>
          <w:szCs w:val="20"/>
        </w:rPr>
        <w:t>质疑人对采购人或采购代理机构的质疑答复不满意或在规定时间内未得到答复的，可以在答复期满后15个工作日内，向本项目采购人提起投诉，联系方式见《磋商邀请》中“采购人的名称、地址和联系方式”。</w:t>
      </w:r>
    </w:p>
    <w:p>
      <w:pPr>
        <w:pStyle w:val="5"/>
        <w:numPr>
          <w:ilvl w:val="0"/>
          <w:numId w:val="5"/>
        </w:numPr>
        <w:spacing w:before="120" w:after="120"/>
        <w:ind w:left="0" w:firstLine="0"/>
        <w:rPr>
          <w:rFonts w:ascii="宋体" w:hAnsi="宋体"/>
          <w:sz w:val="21"/>
          <w:szCs w:val="21"/>
        </w:rPr>
      </w:pPr>
      <w:bookmarkStart w:id="47" w:name="_Toc104040695"/>
      <w:r>
        <w:rPr>
          <w:rFonts w:hint="eastAsia" w:ascii="宋体" w:hAnsi="宋体"/>
          <w:sz w:val="21"/>
          <w:szCs w:val="21"/>
        </w:rPr>
        <w:t>合同签订和履行</w:t>
      </w:r>
      <w:bookmarkEnd w:id="47"/>
    </w:p>
    <w:p>
      <w:pPr>
        <w:pStyle w:val="129"/>
        <w:numPr>
          <w:ilvl w:val="0"/>
          <w:numId w:val="11"/>
        </w:numPr>
        <w:spacing w:beforeLines="50" w:afterLines="50"/>
        <w:outlineLvl w:val="2"/>
        <w:rPr>
          <w:rFonts w:ascii="宋体" w:hAnsi="宋体"/>
          <w:b/>
          <w:bCs/>
        </w:rPr>
      </w:pPr>
      <w:r>
        <w:rPr>
          <w:rFonts w:hint="eastAsia" w:ascii="宋体" w:hAnsi="宋体"/>
          <w:b/>
          <w:bCs/>
        </w:rPr>
        <w:t>合同签订</w:t>
      </w:r>
    </w:p>
    <w:p>
      <w:pPr>
        <w:pStyle w:val="21"/>
        <w:ind w:firstLine="386" w:firstLineChars="200"/>
        <w:rPr>
          <w:rFonts w:ascii="宋体" w:hAnsi="宋体"/>
          <w:szCs w:val="20"/>
        </w:rPr>
      </w:pPr>
      <w:r>
        <w:rPr>
          <w:rFonts w:hint="eastAsia" w:ascii="宋体" w:hAnsi="宋体"/>
          <w:szCs w:val="20"/>
        </w:rPr>
        <w:t>1</w:t>
      </w:r>
      <w:r>
        <w:rPr>
          <w:rFonts w:ascii="宋体" w:hAnsi="宋体"/>
          <w:szCs w:val="20"/>
        </w:rPr>
        <w:t>.1</w:t>
      </w:r>
      <w:r>
        <w:rPr>
          <w:rFonts w:hint="eastAsia" w:ascii="宋体" w:hAnsi="宋体"/>
          <w:szCs w:val="20"/>
        </w:rPr>
        <w:t>采购人应当自《成交通知书》发出之日起三十日内，按照磋商文件和成交供应商响应文件的约定，与成交供应商签订合同。所签订的合同不得对磋商文件和成交供应商响应文件作实质性修改。</w:t>
      </w:r>
    </w:p>
    <w:p>
      <w:pPr>
        <w:pStyle w:val="21"/>
        <w:ind w:firstLine="386" w:firstLineChars="200"/>
        <w:rPr>
          <w:rFonts w:ascii="宋体" w:hAnsi="宋体"/>
          <w:szCs w:val="20"/>
        </w:rPr>
      </w:pPr>
      <w:r>
        <w:rPr>
          <w:rFonts w:hint="eastAsia" w:ascii="宋体" w:hAnsi="宋体"/>
          <w:szCs w:val="20"/>
        </w:rPr>
        <w:t>1</w:t>
      </w:r>
      <w:r>
        <w:rPr>
          <w:rFonts w:ascii="宋体" w:hAnsi="宋体"/>
          <w:szCs w:val="20"/>
        </w:rPr>
        <w:t>.2</w:t>
      </w:r>
      <w:r>
        <w:rPr>
          <w:rFonts w:hint="eastAsia" w:ascii="宋体" w:hAnsi="宋体"/>
          <w:szCs w:val="20"/>
        </w:rPr>
        <w:t>采购人不得提出试用合格等任何不合理的要求作为签订合同的条件，且不得与成交供应商私下订立背离合同实质性内容的协议。</w:t>
      </w:r>
    </w:p>
    <w:p>
      <w:pPr>
        <w:pStyle w:val="129"/>
        <w:numPr>
          <w:ilvl w:val="0"/>
          <w:numId w:val="11"/>
        </w:numPr>
        <w:spacing w:beforeLines="50" w:afterLines="50"/>
        <w:outlineLvl w:val="2"/>
        <w:rPr>
          <w:rFonts w:ascii="宋体" w:hAnsi="宋体"/>
          <w:b/>
          <w:bCs/>
        </w:rPr>
      </w:pPr>
      <w:r>
        <w:rPr>
          <w:rFonts w:hint="eastAsia" w:ascii="宋体" w:hAnsi="宋体"/>
          <w:b/>
          <w:bCs/>
        </w:rPr>
        <w:t>合同的履行</w:t>
      </w:r>
    </w:p>
    <w:p>
      <w:pPr>
        <w:pStyle w:val="21"/>
        <w:ind w:firstLine="386" w:firstLineChars="200"/>
        <w:rPr>
          <w:rFonts w:ascii="宋体" w:hAnsi="宋体"/>
          <w:szCs w:val="20"/>
        </w:rPr>
      </w:pPr>
      <w:r>
        <w:rPr>
          <w:rFonts w:hint="eastAsia" w:ascii="宋体" w:hAnsi="宋体"/>
          <w:szCs w:val="20"/>
        </w:rPr>
        <w:t>2</w:t>
      </w:r>
      <w:r>
        <w:rPr>
          <w:rFonts w:ascii="宋体" w:hAnsi="宋体"/>
          <w:szCs w:val="20"/>
        </w:rPr>
        <w:t>.1</w:t>
      </w:r>
      <w:r>
        <w:rPr>
          <w:rFonts w:hint="eastAsia" w:ascii="宋体" w:hAnsi="宋体"/>
          <w:szCs w:val="20"/>
        </w:rPr>
        <w:t>采购合同订立后，合同各方不得擅自变更、中止或者终止合同。采购合同需要变更的，采购人应将有关合同变更内容，以书面形式记录备案；因特殊情况需要中止或终止合同的，采购人应将中止或终止合同的理由以及相应措施，以书面形式记录备案。</w:t>
      </w:r>
    </w:p>
    <w:p>
      <w:pPr>
        <w:pStyle w:val="21"/>
        <w:ind w:firstLine="386" w:firstLineChars="200"/>
        <w:rPr>
          <w:rFonts w:ascii="宋体" w:hAnsi="宋体"/>
          <w:szCs w:val="20"/>
        </w:rPr>
      </w:pPr>
      <w:r>
        <w:rPr>
          <w:rFonts w:hint="eastAsia" w:ascii="宋体" w:hAnsi="宋体"/>
          <w:szCs w:val="20"/>
        </w:rPr>
        <w:t>2</w:t>
      </w:r>
      <w:r>
        <w:rPr>
          <w:rFonts w:ascii="宋体" w:hAnsi="宋体"/>
          <w:szCs w:val="20"/>
        </w:rPr>
        <w:t>.2</w:t>
      </w:r>
      <w:r>
        <w:rPr>
          <w:rFonts w:hint="eastAsia" w:ascii="宋体" w:hAnsi="宋体"/>
          <w:szCs w:val="20"/>
        </w:rPr>
        <w:t>采购合同履行中，采购人需追加与合同标的相同的货物、工程或者服务的，在不改变合同其他条款的前提下，可以与成交供应商签订补充合同，但所补充合同的采购金额不得超过原采购金额的10%。</w:t>
      </w:r>
    </w:p>
    <w:bookmarkEnd w:id="17"/>
    <w:p>
      <w:pPr>
        <w:rPr>
          <w:rFonts w:ascii="宋体" w:hAnsi="宋体"/>
          <w:b/>
          <w:bCs/>
          <w:kern w:val="44"/>
          <w:sz w:val="36"/>
          <w:szCs w:val="36"/>
        </w:rPr>
      </w:pPr>
      <w:bookmarkStart w:id="48" w:name="_Toc102936912"/>
      <w:bookmarkStart w:id="49" w:name="_Toc103033213"/>
      <w:bookmarkStart w:id="50" w:name="_Toc50864444"/>
      <w:bookmarkStart w:id="51" w:name="_Toc35342046"/>
      <w:bookmarkStart w:id="52" w:name="_Toc67046845"/>
      <w:r>
        <w:rPr>
          <w:rFonts w:ascii="宋体" w:hAnsi="宋体"/>
          <w:sz w:val="36"/>
          <w:szCs w:val="36"/>
        </w:rPr>
        <w:br w:type="page"/>
      </w:r>
    </w:p>
    <w:p>
      <w:pPr>
        <w:pStyle w:val="4"/>
        <w:rPr>
          <w:rFonts w:ascii="宋体" w:hAnsi="宋体"/>
        </w:rPr>
      </w:pPr>
      <w:bookmarkStart w:id="53" w:name="_Toc104040696"/>
      <w:bookmarkStart w:id="54" w:name="_Toc114516596"/>
      <w:bookmarkStart w:id="55" w:name="_Toc103216636"/>
      <w:r>
        <w:rPr>
          <w:rFonts w:hint="eastAsia" w:ascii="宋体" w:hAnsi="宋体"/>
        </w:rPr>
        <w:t>第四章 评审</w:t>
      </w:r>
      <w:bookmarkEnd w:id="48"/>
      <w:bookmarkEnd w:id="49"/>
      <w:bookmarkEnd w:id="50"/>
      <w:bookmarkEnd w:id="51"/>
      <w:bookmarkEnd w:id="53"/>
      <w:bookmarkEnd w:id="54"/>
      <w:bookmarkEnd w:id="55"/>
    </w:p>
    <w:p>
      <w:pPr>
        <w:pStyle w:val="5"/>
        <w:numPr>
          <w:ilvl w:val="0"/>
          <w:numId w:val="12"/>
        </w:numPr>
        <w:spacing w:before="120" w:after="120"/>
        <w:rPr>
          <w:rFonts w:ascii="宋体" w:hAnsi="宋体"/>
          <w:sz w:val="21"/>
          <w:szCs w:val="21"/>
        </w:rPr>
      </w:pPr>
      <w:bookmarkStart w:id="56" w:name="_Toc104040697"/>
      <w:r>
        <w:rPr>
          <w:rFonts w:hint="eastAsia" w:ascii="宋体" w:hAnsi="宋体"/>
          <w:sz w:val="21"/>
          <w:szCs w:val="21"/>
        </w:rPr>
        <w:t>评审要求</w:t>
      </w:r>
      <w:bookmarkEnd w:id="56"/>
    </w:p>
    <w:p>
      <w:pPr>
        <w:pStyle w:val="129"/>
        <w:numPr>
          <w:ilvl w:val="0"/>
          <w:numId w:val="13"/>
        </w:numPr>
        <w:spacing w:beforeLines="50" w:afterLines="50"/>
        <w:outlineLvl w:val="2"/>
        <w:rPr>
          <w:rFonts w:ascii="宋体" w:hAnsi="宋体"/>
          <w:b/>
          <w:bCs/>
        </w:rPr>
      </w:pPr>
      <w:r>
        <w:rPr>
          <w:rFonts w:hint="eastAsia" w:ascii="宋体" w:hAnsi="宋体"/>
          <w:b/>
          <w:bCs/>
        </w:rPr>
        <w:t>评审方法</w:t>
      </w:r>
    </w:p>
    <w:p>
      <w:pPr>
        <w:ind w:firstLine="386" w:firstLineChars="200"/>
        <w:jc w:val="left"/>
        <w:rPr>
          <w:rFonts w:ascii="宋体" w:hAnsi="宋体"/>
          <w:bCs/>
          <w:szCs w:val="21"/>
        </w:rPr>
      </w:pPr>
      <w:r>
        <w:rPr>
          <w:rFonts w:hint="eastAsia" w:ascii="宋体" w:hAnsi="宋体"/>
          <w:bCs/>
          <w:szCs w:val="21"/>
        </w:rPr>
        <w:t>综合评分法,是指响应文件满足磋商文件全部实质性要求，且按照评审因素的量化指标评审得分最高的供应商为成交候选人的评标方法。（最低报价不是成交的唯一依据。）</w:t>
      </w:r>
    </w:p>
    <w:p>
      <w:pPr>
        <w:pStyle w:val="129"/>
        <w:numPr>
          <w:ilvl w:val="0"/>
          <w:numId w:val="13"/>
        </w:numPr>
        <w:spacing w:beforeLines="50" w:afterLines="50"/>
        <w:outlineLvl w:val="2"/>
        <w:rPr>
          <w:rFonts w:ascii="宋体" w:hAnsi="宋体"/>
          <w:b/>
          <w:bCs/>
        </w:rPr>
      </w:pPr>
      <w:r>
        <w:rPr>
          <w:rFonts w:hint="eastAsia" w:ascii="宋体" w:hAnsi="宋体"/>
          <w:b/>
          <w:bCs/>
        </w:rPr>
        <w:t>评审原则</w:t>
      </w:r>
    </w:p>
    <w:p>
      <w:pPr>
        <w:ind w:firstLine="386" w:firstLineChars="200"/>
        <w:jc w:val="left"/>
        <w:rPr>
          <w:rFonts w:ascii="宋体" w:hAnsi="宋体"/>
          <w:bCs/>
          <w:szCs w:val="21"/>
        </w:rPr>
      </w:pPr>
      <w:r>
        <w:rPr>
          <w:rFonts w:hint="eastAsia" w:ascii="宋体" w:hAnsi="宋体"/>
          <w:bCs/>
          <w:szCs w:val="21"/>
        </w:rPr>
        <w:t>2</w:t>
      </w:r>
      <w:r>
        <w:rPr>
          <w:rFonts w:ascii="宋体" w:hAnsi="宋体"/>
          <w:bCs/>
          <w:szCs w:val="21"/>
        </w:rPr>
        <w:t>.1</w:t>
      </w:r>
      <w:r>
        <w:rPr>
          <w:rFonts w:hint="eastAsia" w:ascii="宋体" w:hAnsi="宋体"/>
          <w:bCs/>
          <w:szCs w:val="21"/>
        </w:rPr>
        <w:t>评审活动遵循公平、公正、科学和择优的原则，以磋商文件和响应文件为评审的基本依据，并按照磋商文件规定的评审方法和评审标准进行评审。</w:t>
      </w:r>
    </w:p>
    <w:p>
      <w:pPr>
        <w:ind w:firstLine="386" w:firstLineChars="200"/>
        <w:jc w:val="left"/>
        <w:rPr>
          <w:rFonts w:ascii="宋体" w:hAnsi="宋体"/>
          <w:bCs/>
          <w:szCs w:val="21"/>
        </w:rPr>
      </w:pPr>
      <w:r>
        <w:rPr>
          <w:rFonts w:ascii="宋体" w:hAnsi="宋体"/>
          <w:bCs/>
          <w:szCs w:val="21"/>
        </w:rPr>
        <w:t>2.2</w:t>
      </w:r>
      <w:r>
        <w:rPr>
          <w:rFonts w:hint="eastAsia" w:ascii="宋体" w:hAnsi="宋体"/>
          <w:bCs/>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129"/>
        <w:numPr>
          <w:ilvl w:val="0"/>
          <w:numId w:val="13"/>
        </w:numPr>
        <w:spacing w:beforeLines="50" w:afterLines="50"/>
        <w:outlineLvl w:val="2"/>
        <w:rPr>
          <w:rFonts w:ascii="宋体" w:hAnsi="宋体"/>
          <w:b/>
          <w:bCs/>
        </w:rPr>
      </w:pPr>
      <w:r>
        <w:rPr>
          <w:rFonts w:hint="eastAsia" w:ascii="宋体" w:hAnsi="宋体"/>
          <w:b/>
          <w:bCs/>
        </w:rPr>
        <w:t>磋商小组</w:t>
      </w:r>
    </w:p>
    <w:p>
      <w:pPr>
        <w:pStyle w:val="129"/>
        <w:ind w:firstLine="386" w:firstLineChars="200"/>
        <w:jc w:val="left"/>
        <w:rPr>
          <w:rFonts w:ascii="宋体" w:hAnsi="宋体"/>
          <w:bCs/>
          <w:szCs w:val="21"/>
        </w:rPr>
      </w:pPr>
      <w:r>
        <w:rPr>
          <w:rFonts w:hint="cs" w:ascii="宋体" w:hAnsi="宋体"/>
          <w:bCs/>
          <w:szCs w:val="21"/>
        </w:rPr>
        <w:t>3</w:t>
      </w:r>
      <w:r>
        <w:rPr>
          <w:rFonts w:ascii="宋体" w:hAnsi="宋体"/>
          <w:bCs/>
          <w:szCs w:val="21"/>
        </w:rPr>
        <w:t>.1</w:t>
      </w:r>
      <w:r>
        <w:rPr>
          <w:rFonts w:hint="eastAsia" w:ascii="宋体" w:hAnsi="宋体"/>
          <w:bCs/>
          <w:szCs w:val="21"/>
        </w:rPr>
        <w:t>磋商小组由采购人代表和评审专家组成，成员人数应当为3人及以上单数，其中技术、经济等方面的评审专家不得少于成员总数的三分之二。</w:t>
      </w:r>
    </w:p>
    <w:p>
      <w:pPr>
        <w:pStyle w:val="129"/>
        <w:ind w:firstLine="386" w:firstLineChars="200"/>
        <w:jc w:val="left"/>
        <w:rPr>
          <w:rFonts w:ascii="宋体" w:hAnsi="宋体"/>
          <w:bCs/>
          <w:szCs w:val="21"/>
        </w:rPr>
      </w:pPr>
      <w:r>
        <w:rPr>
          <w:rFonts w:ascii="宋体" w:hAnsi="宋体"/>
          <w:bCs/>
          <w:szCs w:val="21"/>
        </w:rPr>
        <w:t>3.2</w:t>
      </w:r>
      <w:r>
        <w:rPr>
          <w:rFonts w:hint="eastAsia" w:ascii="宋体" w:hAnsi="宋体"/>
          <w:bCs/>
          <w:szCs w:val="21"/>
        </w:rPr>
        <w:t>评审应遵守下列评审纪律：</w:t>
      </w:r>
    </w:p>
    <w:p>
      <w:pPr>
        <w:pStyle w:val="21"/>
        <w:ind w:firstLine="386" w:firstLineChars="200"/>
        <w:rPr>
          <w:rFonts w:ascii="宋体" w:hAnsi="宋体"/>
          <w:szCs w:val="20"/>
        </w:rPr>
      </w:pPr>
      <w:r>
        <w:rPr>
          <w:rFonts w:hint="eastAsia" w:ascii="宋体" w:hAnsi="宋体"/>
          <w:szCs w:val="20"/>
        </w:rPr>
        <w:t>（1）评审情况不得私自外泄，有关信息由广东达禾工程管理有限公司统一对外发布。</w:t>
      </w:r>
    </w:p>
    <w:p>
      <w:pPr>
        <w:pStyle w:val="21"/>
        <w:ind w:firstLine="386" w:firstLineChars="200"/>
        <w:rPr>
          <w:rFonts w:ascii="宋体" w:hAnsi="宋体"/>
          <w:szCs w:val="20"/>
        </w:rPr>
      </w:pPr>
      <w:r>
        <w:rPr>
          <w:rFonts w:hint="eastAsia" w:ascii="宋体" w:hAnsi="宋体"/>
          <w:szCs w:val="20"/>
        </w:rPr>
        <w:t>（2）对广东达禾工程管理有限公司或供应商提供的要求保密的资料，不得摘记翻印和外传。</w:t>
      </w:r>
    </w:p>
    <w:p>
      <w:pPr>
        <w:pStyle w:val="21"/>
        <w:ind w:firstLine="386" w:firstLineChars="200"/>
        <w:rPr>
          <w:rFonts w:ascii="宋体" w:hAnsi="宋体"/>
          <w:szCs w:val="20"/>
        </w:rPr>
      </w:pPr>
      <w:r>
        <w:rPr>
          <w:rFonts w:hint="eastAsia" w:ascii="宋体" w:hAnsi="宋体"/>
          <w:szCs w:val="20"/>
        </w:rPr>
        <w:t>（3）不得收受响应供应商或有关人员的任何礼物，不得串联鼓动其他人袒护某供应商。若与供应商存在利害关系，则应主动声明并回避。</w:t>
      </w:r>
    </w:p>
    <w:p>
      <w:pPr>
        <w:pStyle w:val="21"/>
        <w:ind w:firstLine="386" w:firstLineChars="200"/>
        <w:rPr>
          <w:rFonts w:ascii="宋体" w:hAnsi="宋体"/>
          <w:szCs w:val="20"/>
        </w:rPr>
      </w:pPr>
      <w:r>
        <w:rPr>
          <w:rFonts w:hint="eastAsia" w:ascii="宋体" w:hAnsi="宋体"/>
          <w:szCs w:val="20"/>
        </w:rPr>
        <w:t>（4）全体评委应按照磋商文件规定进行评审，一切认定事项应查有实据且不得弄虚作假。</w:t>
      </w:r>
    </w:p>
    <w:p>
      <w:pPr>
        <w:pStyle w:val="21"/>
        <w:ind w:firstLine="386" w:firstLineChars="200"/>
        <w:rPr>
          <w:rFonts w:ascii="宋体" w:hAnsi="宋体"/>
          <w:szCs w:val="20"/>
        </w:rPr>
      </w:pPr>
      <w:r>
        <w:rPr>
          <w:rFonts w:hint="eastAsia" w:ascii="宋体" w:hAnsi="宋体"/>
          <w:szCs w:val="20"/>
        </w:rPr>
        <w:t>（5）磋商小组各成员应当独立对每个响应供应商的响应文件进行评价，并对评价意见承担个人责任。评审过程中，不得发表倾向性言论。</w:t>
      </w:r>
    </w:p>
    <w:p>
      <w:pPr>
        <w:ind w:firstLine="386" w:firstLineChars="200"/>
        <w:jc w:val="left"/>
        <w:rPr>
          <w:rFonts w:ascii="宋体" w:hAnsi="宋体"/>
          <w:bCs/>
          <w:szCs w:val="21"/>
        </w:rPr>
      </w:pPr>
      <w:r>
        <w:rPr>
          <w:rFonts w:hint="eastAsia" w:ascii="宋体" w:hAnsi="宋体"/>
          <w:bCs/>
          <w:szCs w:val="21"/>
        </w:rPr>
        <w:t>※对违反评审纪律的评委，将取消其评委资格，对评审工作造成严重损失者将予以通报批评乃至追究法律责任。</w:t>
      </w:r>
    </w:p>
    <w:p>
      <w:pPr>
        <w:pStyle w:val="129"/>
        <w:numPr>
          <w:ilvl w:val="0"/>
          <w:numId w:val="13"/>
        </w:numPr>
        <w:spacing w:beforeLines="50" w:afterLines="50"/>
        <w:outlineLvl w:val="2"/>
        <w:rPr>
          <w:rFonts w:ascii="宋体" w:hAnsi="宋体"/>
          <w:b/>
          <w:bCs/>
        </w:rPr>
      </w:pPr>
      <w:r>
        <w:rPr>
          <w:rFonts w:hint="eastAsia" w:ascii="宋体" w:hAnsi="宋体"/>
          <w:b/>
          <w:bCs/>
        </w:rPr>
        <w:t>有下列情形之一的，视为供应商串通响应，其响应无效</w:t>
      </w:r>
    </w:p>
    <w:p>
      <w:pPr>
        <w:pStyle w:val="21"/>
        <w:ind w:left="420"/>
        <w:rPr>
          <w:rFonts w:ascii="宋体" w:hAnsi="宋体"/>
          <w:szCs w:val="20"/>
        </w:rPr>
      </w:pPr>
      <w:r>
        <w:rPr>
          <w:rFonts w:hint="eastAsia" w:ascii="宋体" w:hAnsi="宋体"/>
          <w:szCs w:val="20"/>
        </w:rPr>
        <w:t>4</w:t>
      </w:r>
      <w:r>
        <w:rPr>
          <w:rFonts w:ascii="宋体" w:hAnsi="宋体"/>
          <w:szCs w:val="20"/>
        </w:rPr>
        <w:t>.1</w:t>
      </w:r>
      <w:r>
        <w:rPr>
          <w:rFonts w:hint="eastAsia" w:ascii="宋体" w:hAnsi="宋体"/>
          <w:szCs w:val="20"/>
        </w:rPr>
        <w:t>不同供应商的响应文件由同一单位或者个人编制；</w:t>
      </w:r>
    </w:p>
    <w:p>
      <w:pPr>
        <w:pStyle w:val="21"/>
        <w:ind w:left="420"/>
        <w:rPr>
          <w:rFonts w:ascii="宋体" w:hAnsi="宋体"/>
          <w:szCs w:val="20"/>
        </w:rPr>
      </w:pPr>
      <w:r>
        <w:rPr>
          <w:rFonts w:ascii="宋体" w:hAnsi="宋体"/>
          <w:szCs w:val="20"/>
        </w:rPr>
        <w:t>4.2</w:t>
      </w:r>
      <w:r>
        <w:rPr>
          <w:rFonts w:hint="eastAsia" w:ascii="宋体" w:hAnsi="宋体"/>
          <w:szCs w:val="20"/>
        </w:rPr>
        <w:t>不同供应商委托同一单位或者个人办理响应事宜；</w:t>
      </w:r>
    </w:p>
    <w:p>
      <w:pPr>
        <w:pStyle w:val="21"/>
        <w:ind w:left="420"/>
        <w:rPr>
          <w:rFonts w:ascii="宋体" w:hAnsi="宋体"/>
          <w:szCs w:val="20"/>
        </w:rPr>
      </w:pPr>
      <w:r>
        <w:rPr>
          <w:rFonts w:hint="eastAsia" w:ascii="宋体" w:hAnsi="宋体"/>
          <w:szCs w:val="20"/>
        </w:rPr>
        <w:t>4</w:t>
      </w:r>
      <w:r>
        <w:rPr>
          <w:rFonts w:ascii="宋体" w:hAnsi="宋体"/>
          <w:szCs w:val="20"/>
        </w:rPr>
        <w:t>.3</w:t>
      </w:r>
      <w:r>
        <w:rPr>
          <w:rFonts w:hint="eastAsia" w:ascii="宋体" w:hAnsi="宋体"/>
          <w:szCs w:val="20"/>
        </w:rPr>
        <w:t>不同供应商的响应文件载明的项目管理成员或者联系人员为同一人；</w:t>
      </w:r>
    </w:p>
    <w:p>
      <w:pPr>
        <w:pStyle w:val="21"/>
        <w:ind w:left="420"/>
        <w:rPr>
          <w:rFonts w:ascii="宋体" w:hAnsi="宋体"/>
          <w:szCs w:val="20"/>
        </w:rPr>
      </w:pPr>
      <w:r>
        <w:rPr>
          <w:rFonts w:ascii="宋体" w:hAnsi="宋体"/>
          <w:szCs w:val="20"/>
        </w:rPr>
        <w:t>4.4</w:t>
      </w:r>
      <w:r>
        <w:rPr>
          <w:rFonts w:hint="eastAsia" w:ascii="宋体" w:hAnsi="宋体"/>
          <w:szCs w:val="20"/>
        </w:rPr>
        <w:t>不同供应商的响应文件异常一致或者响应报价呈规律性差异；</w:t>
      </w:r>
    </w:p>
    <w:p>
      <w:pPr>
        <w:pStyle w:val="21"/>
        <w:ind w:left="420"/>
        <w:rPr>
          <w:rFonts w:ascii="宋体" w:hAnsi="宋体"/>
          <w:szCs w:val="20"/>
        </w:rPr>
      </w:pPr>
      <w:r>
        <w:rPr>
          <w:rFonts w:ascii="宋体" w:hAnsi="宋体"/>
          <w:szCs w:val="20"/>
        </w:rPr>
        <w:t>4.5</w:t>
      </w:r>
      <w:r>
        <w:rPr>
          <w:rFonts w:hint="eastAsia" w:ascii="宋体" w:hAnsi="宋体"/>
          <w:szCs w:val="20"/>
        </w:rPr>
        <w:t>不同供应商的响应文件相互混装；</w:t>
      </w:r>
    </w:p>
    <w:p>
      <w:pPr>
        <w:pStyle w:val="21"/>
        <w:ind w:left="420"/>
        <w:rPr>
          <w:rFonts w:ascii="宋体" w:hAnsi="宋体"/>
          <w:szCs w:val="20"/>
        </w:rPr>
      </w:pPr>
      <w:r>
        <w:rPr>
          <w:rFonts w:ascii="宋体" w:hAnsi="宋体"/>
          <w:szCs w:val="20"/>
        </w:rPr>
        <w:t>4.6</w:t>
      </w:r>
      <w:r>
        <w:rPr>
          <w:rFonts w:hint="eastAsia" w:ascii="宋体" w:hAnsi="宋体"/>
          <w:szCs w:val="20"/>
        </w:rPr>
        <w:t>不同供应商的响应保证金或购买电子保函支付款为从同一单位或个人的账户转出。</w:t>
      </w:r>
    </w:p>
    <w:p>
      <w:pPr>
        <w:ind w:firstLine="386" w:firstLineChars="200"/>
        <w:jc w:val="left"/>
        <w:rPr>
          <w:rFonts w:ascii="宋体" w:hAnsi="宋体"/>
          <w:bCs/>
          <w:szCs w:val="21"/>
        </w:rPr>
      </w:pPr>
      <w:r>
        <w:rPr>
          <w:rFonts w:hint="eastAsia" w:ascii="宋体" w:hAnsi="宋体"/>
          <w:bCs/>
          <w:szCs w:val="21"/>
        </w:rPr>
        <w:t>说明：在评审过程中发现供应商有上述情形的，磋商小组应当认定其响应无效。同时，项目评审时被认定为串通响应的供应商不得参加该合同项下的采购活动。</w:t>
      </w:r>
    </w:p>
    <w:p>
      <w:pPr>
        <w:pStyle w:val="129"/>
        <w:numPr>
          <w:ilvl w:val="0"/>
          <w:numId w:val="13"/>
        </w:numPr>
        <w:spacing w:beforeLines="50" w:afterLines="50"/>
        <w:outlineLvl w:val="2"/>
        <w:rPr>
          <w:rFonts w:ascii="宋体" w:hAnsi="宋体"/>
          <w:b/>
          <w:bCs/>
        </w:rPr>
      </w:pPr>
      <w:r>
        <w:rPr>
          <w:rFonts w:hint="eastAsia" w:ascii="宋体" w:hAnsi="宋体"/>
          <w:b/>
          <w:bCs/>
        </w:rPr>
        <w:t>有下列情形之一的，属于恶意串通响应：</w:t>
      </w:r>
    </w:p>
    <w:p>
      <w:pPr>
        <w:pStyle w:val="21"/>
        <w:ind w:firstLine="386" w:firstLineChars="200"/>
        <w:rPr>
          <w:rFonts w:ascii="宋体" w:hAnsi="宋体"/>
          <w:szCs w:val="20"/>
        </w:rPr>
      </w:pPr>
      <w:r>
        <w:rPr>
          <w:rFonts w:hint="eastAsia" w:ascii="宋体" w:hAnsi="宋体"/>
          <w:szCs w:val="20"/>
        </w:rPr>
        <w:t>（1）供应商直接或者间接从采购人或者采购代理机构处获得其他供应商的相关情况并修改其响应文件；</w:t>
      </w:r>
    </w:p>
    <w:p>
      <w:pPr>
        <w:pStyle w:val="21"/>
        <w:ind w:firstLine="386" w:firstLineChars="200"/>
        <w:rPr>
          <w:rFonts w:ascii="宋体" w:hAnsi="宋体"/>
          <w:szCs w:val="20"/>
        </w:rPr>
      </w:pPr>
      <w:r>
        <w:rPr>
          <w:rFonts w:hint="eastAsia" w:ascii="宋体" w:hAnsi="宋体"/>
          <w:szCs w:val="20"/>
        </w:rPr>
        <w:t>（2）供应商按照采购人或者采购代理机构的授意撤换、修改响应文件；</w:t>
      </w:r>
    </w:p>
    <w:p>
      <w:pPr>
        <w:pStyle w:val="21"/>
        <w:ind w:firstLine="386" w:firstLineChars="200"/>
        <w:rPr>
          <w:rFonts w:ascii="宋体" w:hAnsi="宋体"/>
          <w:szCs w:val="20"/>
        </w:rPr>
      </w:pPr>
      <w:r>
        <w:rPr>
          <w:rFonts w:hint="eastAsia" w:ascii="宋体" w:hAnsi="宋体"/>
          <w:szCs w:val="20"/>
        </w:rPr>
        <w:t>（3）供应商之间协商报价、技术方案等响应文件的实质性内容；</w:t>
      </w:r>
    </w:p>
    <w:p>
      <w:pPr>
        <w:pStyle w:val="21"/>
        <w:ind w:firstLine="386" w:firstLineChars="200"/>
        <w:rPr>
          <w:rFonts w:ascii="宋体" w:hAnsi="宋体"/>
          <w:szCs w:val="20"/>
        </w:rPr>
      </w:pPr>
      <w:r>
        <w:rPr>
          <w:rFonts w:hint="eastAsia" w:ascii="宋体" w:hAnsi="宋体"/>
          <w:szCs w:val="20"/>
        </w:rPr>
        <w:t>（4）属于同一集团、协会、商会等组织成员的供应商按照该组织要求协同参加采购活动；</w:t>
      </w:r>
    </w:p>
    <w:p>
      <w:pPr>
        <w:pStyle w:val="21"/>
        <w:ind w:firstLine="386" w:firstLineChars="200"/>
        <w:rPr>
          <w:rFonts w:ascii="宋体" w:hAnsi="宋体"/>
          <w:szCs w:val="20"/>
        </w:rPr>
      </w:pPr>
      <w:r>
        <w:rPr>
          <w:rFonts w:hint="eastAsia" w:ascii="宋体" w:hAnsi="宋体"/>
          <w:szCs w:val="20"/>
        </w:rPr>
        <w:t>（5）供应商之间事先约定由某一特定供应商成交；</w:t>
      </w:r>
    </w:p>
    <w:p>
      <w:pPr>
        <w:pStyle w:val="21"/>
        <w:ind w:firstLine="386" w:firstLineChars="200"/>
        <w:rPr>
          <w:rFonts w:ascii="宋体" w:hAnsi="宋体"/>
          <w:szCs w:val="20"/>
        </w:rPr>
      </w:pPr>
      <w:r>
        <w:rPr>
          <w:rFonts w:hint="eastAsia" w:ascii="宋体" w:hAnsi="宋体"/>
          <w:szCs w:val="20"/>
        </w:rPr>
        <w:t>（6）供应商之间商定部分供应商放弃参加采购活动或者放弃成交；</w:t>
      </w:r>
    </w:p>
    <w:p>
      <w:pPr>
        <w:pStyle w:val="21"/>
        <w:ind w:firstLine="386" w:firstLineChars="200"/>
        <w:rPr>
          <w:rFonts w:ascii="宋体" w:hAnsi="宋体"/>
          <w:szCs w:val="20"/>
        </w:rPr>
      </w:pPr>
      <w:r>
        <w:rPr>
          <w:rFonts w:hint="eastAsia" w:ascii="宋体" w:hAnsi="宋体"/>
          <w:szCs w:val="20"/>
        </w:rPr>
        <w:t>（7）供应商与采购人或者采购代理机构之间、供应商相互之间，为谋求特定供应商成交或者排斥其他供应商的其他串通行为。</w:t>
      </w:r>
    </w:p>
    <w:p>
      <w:pPr>
        <w:pStyle w:val="129"/>
        <w:numPr>
          <w:ilvl w:val="0"/>
          <w:numId w:val="13"/>
        </w:numPr>
        <w:spacing w:beforeLines="50" w:afterLines="50"/>
        <w:outlineLvl w:val="2"/>
        <w:rPr>
          <w:rFonts w:ascii="宋体" w:hAnsi="宋体"/>
          <w:b/>
          <w:bCs/>
        </w:rPr>
      </w:pPr>
      <w:r>
        <w:rPr>
          <w:rFonts w:hint="eastAsia" w:ascii="宋体" w:hAnsi="宋体"/>
          <w:b/>
          <w:bCs/>
        </w:rPr>
        <w:t>其他响应无效的情形</w:t>
      </w:r>
    </w:p>
    <w:p>
      <w:pPr>
        <w:ind w:firstLine="386" w:firstLineChars="200"/>
        <w:jc w:val="left"/>
        <w:rPr>
          <w:rFonts w:ascii="宋体" w:hAnsi="宋体"/>
          <w:bCs/>
          <w:szCs w:val="21"/>
        </w:rPr>
      </w:pPr>
      <w:r>
        <w:rPr>
          <w:rFonts w:hint="eastAsia" w:ascii="宋体" w:hAnsi="宋体"/>
          <w:bCs/>
          <w:szCs w:val="21"/>
        </w:rPr>
        <w:t>详见资格性审查、符合性审查和磋商文件其他响应无效条款。</w:t>
      </w:r>
    </w:p>
    <w:p>
      <w:pPr>
        <w:pStyle w:val="129"/>
        <w:numPr>
          <w:ilvl w:val="0"/>
          <w:numId w:val="13"/>
        </w:numPr>
        <w:spacing w:beforeLines="50" w:afterLines="50"/>
        <w:outlineLvl w:val="2"/>
        <w:rPr>
          <w:rFonts w:ascii="宋体" w:hAnsi="宋体"/>
          <w:b/>
          <w:bCs/>
        </w:rPr>
      </w:pPr>
      <w:r>
        <w:rPr>
          <w:rFonts w:hint="eastAsia" w:ascii="宋体" w:hAnsi="宋体"/>
          <w:b/>
          <w:bCs/>
        </w:rPr>
        <w:t>终止竞争性磋商采购活动的情形</w:t>
      </w:r>
    </w:p>
    <w:p>
      <w:pPr>
        <w:ind w:firstLine="386" w:firstLineChars="200"/>
        <w:jc w:val="left"/>
        <w:rPr>
          <w:rFonts w:ascii="宋体" w:hAnsi="宋体"/>
          <w:bCs/>
          <w:szCs w:val="21"/>
        </w:rPr>
      </w:pPr>
      <w:r>
        <w:rPr>
          <w:rFonts w:hint="eastAsia" w:ascii="宋体" w:hAnsi="宋体"/>
          <w:bCs/>
          <w:szCs w:val="21"/>
        </w:rPr>
        <w:t>出现下列情形之一的，采购人或者采购代理机构应当终止竞争性磋商采购活动，发布项目终止公告并说明原因，重新开展采购活动：</w:t>
      </w:r>
    </w:p>
    <w:p>
      <w:pPr>
        <w:pStyle w:val="129"/>
        <w:ind w:firstLine="386" w:firstLineChars="200"/>
        <w:jc w:val="left"/>
        <w:rPr>
          <w:rFonts w:ascii="宋体" w:hAnsi="宋体"/>
          <w:bCs/>
          <w:szCs w:val="21"/>
        </w:rPr>
      </w:pPr>
      <w:r>
        <w:rPr>
          <w:rFonts w:hint="eastAsia" w:ascii="宋体" w:hAnsi="宋体"/>
          <w:bCs/>
          <w:szCs w:val="21"/>
          <w:lang w:eastAsia="zh-CN"/>
        </w:rPr>
        <w:t>（1）</w:t>
      </w:r>
      <w:r>
        <w:rPr>
          <w:rFonts w:hint="eastAsia" w:ascii="宋体" w:hAnsi="宋体"/>
          <w:bCs/>
          <w:szCs w:val="21"/>
        </w:rPr>
        <w:t>因情况变化，不再符合规定的竞争性磋商采购方式适用情形的；</w:t>
      </w:r>
    </w:p>
    <w:p>
      <w:pPr>
        <w:pStyle w:val="129"/>
        <w:ind w:firstLine="386" w:firstLineChars="200"/>
        <w:jc w:val="left"/>
        <w:rPr>
          <w:rFonts w:ascii="宋体" w:hAnsi="宋体"/>
          <w:bCs/>
          <w:szCs w:val="21"/>
        </w:rPr>
      </w:pPr>
      <w:r>
        <w:rPr>
          <w:rFonts w:hint="eastAsia" w:ascii="宋体" w:hAnsi="宋体"/>
          <w:bCs/>
          <w:szCs w:val="21"/>
          <w:lang w:eastAsia="zh-CN"/>
        </w:rPr>
        <w:t>（2）</w:t>
      </w:r>
      <w:r>
        <w:rPr>
          <w:rFonts w:hint="eastAsia" w:ascii="宋体" w:hAnsi="宋体"/>
          <w:bCs/>
          <w:szCs w:val="21"/>
        </w:rPr>
        <w:t>出现影响采购公正的违法、违规行为的；</w:t>
      </w:r>
    </w:p>
    <w:p>
      <w:pPr>
        <w:ind w:firstLine="386" w:firstLineChars="200"/>
        <w:jc w:val="left"/>
        <w:rPr>
          <w:rFonts w:ascii="宋体" w:hAnsi="宋体"/>
          <w:bCs/>
          <w:szCs w:val="21"/>
        </w:rPr>
      </w:pPr>
      <w:r>
        <w:rPr>
          <w:rFonts w:hint="eastAsia" w:ascii="宋体" w:hAnsi="宋体"/>
          <w:bCs/>
          <w:szCs w:val="21"/>
        </w:rPr>
        <w:t>（3）除《政府采购竞争性磋商采购方式暂行办法》第二十一条第三款，《财政部关于政府采购竞争性磋商采购方式管理暂行办法有关问题的补充通知》（财库〔2015〕124号）规定的情形外 ，在采购过程中符合要求的供应商或者报价未超过采购预算的供应商不足3家的；</w:t>
      </w:r>
    </w:p>
    <w:p>
      <w:pPr>
        <w:ind w:firstLine="386" w:firstLineChars="200"/>
        <w:jc w:val="left"/>
        <w:rPr>
          <w:rFonts w:ascii="宋体" w:hAnsi="宋体"/>
          <w:bCs/>
          <w:szCs w:val="21"/>
        </w:rPr>
      </w:pPr>
      <w:r>
        <w:rPr>
          <w:rFonts w:hint="eastAsia" w:ascii="宋体" w:hAnsi="宋体"/>
          <w:bCs/>
          <w:szCs w:val="21"/>
        </w:rPr>
        <w:t>（4）法律、法规以及磋商文件规定其他情形。</w:t>
      </w:r>
    </w:p>
    <w:p>
      <w:pPr>
        <w:pStyle w:val="129"/>
        <w:numPr>
          <w:ilvl w:val="0"/>
          <w:numId w:val="13"/>
        </w:numPr>
        <w:spacing w:beforeLines="50" w:afterLines="50"/>
        <w:outlineLvl w:val="2"/>
        <w:rPr>
          <w:rFonts w:ascii="宋体" w:hAnsi="宋体"/>
          <w:b/>
          <w:bCs/>
        </w:rPr>
      </w:pPr>
      <w:r>
        <w:rPr>
          <w:rFonts w:hint="eastAsia" w:ascii="宋体" w:hAnsi="宋体"/>
          <w:b/>
          <w:bCs/>
        </w:rPr>
        <w:t>确定成交供应商</w:t>
      </w:r>
    </w:p>
    <w:p>
      <w:pPr>
        <w:ind w:firstLine="386" w:firstLineChars="200"/>
        <w:jc w:val="left"/>
        <w:rPr>
          <w:rFonts w:ascii="宋体" w:hAnsi="宋体"/>
          <w:bCs/>
          <w:szCs w:val="21"/>
        </w:rPr>
      </w:pPr>
      <w:r>
        <w:rPr>
          <w:rFonts w:hint="eastAsia" w:ascii="宋体" w:hAnsi="宋体"/>
          <w:bCs/>
          <w:szCs w:val="21"/>
        </w:rPr>
        <w:t>磋商小组按照磋商文件确定的评审方法、步骤、标准，对响应文件进行评审。评审结束后，对供应商的评审名次进行排序，确定成交供应商或者推荐成交候选供应商。</w:t>
      </w:r>
    </w:p>
    <w:p>
      <w:pPr>
        <w:pStyle w:val="129"/>
        <w:numPr>
          <w:ilvl w:val="0"/>
          <w:numId w:val="13"/>
        </w:numPr>
        <w:spacing w:beforeLines="50" w:afterLines="50"/>
        <w:outlineLvl w:val="2"/>
        <w:rPr>
          <w:rFonts w:ascii="宋体" w:hAnsi="宋体"/>
          <w:b/>
          <w:bCs/>
        </w:rPr>
      </w:pPr>
      <w:r>
        <w:rPr>
          <w:rFonts w:hint="eastAsia" w:ascii="宋体" w:hAnsi="宋体"/>
          <w:b/>
          <w:bCs/>
        </w:rPr>
        <w:t>价格修正</w:t>
      </w:r>
    </w:p>
    <w:p>
      <w:pPr>
        <w:ind w:firstLine="386" w:firstLineChars="200"/>
        <w:jc w:val="left"/>
        <w:rPr>
          <w:rFonts w:ascii="宋体" w:hAnsi="宋体"/>
          <w:bCs/>
          <w:szCs w:val="21"/>
        </w:rPr>
      </w:pPr>
      <w:r>
        <w:rPr>
          <w:rFonts w:hint="eastAsia" w:ascii="宋体" w:hAnsi="宋体"/>
          <w:bCs/>
          <w:szCs w:val="21"/>
        </w:rPr>
        <w:t>对报价的计算错误按以下原则修正：</w:t>
      </w:r>
    </w:p>
    <w:p>
      <w:pPr>
        <w:pStyle w:val="129"/>
        <w:ind w:firstLine="386" w:firstLineChars="200"/>
        <w:jc w:val="left"/>
        <w:rPr>
          <w:rFonts w:ascii="宋体" w:hAnsi="宋体"/>
          <w:bCs/>
          <w:szCs w:val="21"/>
        </w:rPr>
      </w:pPr>
      <w:r>
        <w:rPr>
          <w:rFonts w:hint="eastAsia" w:ascii="宋体" w:hAnsi="宋体"/>
          <w:bCs/>
          <w:szCs w:val="21"/>
          <w:lang w:eastAsia="zh-CN"/>
        </w:rPr>
        <w:t>（1）</w:t>
      </w:r>
      <w:r>
        <w:rPr>
          <w:rFonts w:hint="eastAsia" w:ascii="宋体" w:hAnsi="宋体"/>
          <w:bCs/>
          <w:szCs w:val="21"/>
        </w:rPr>
        <w:t>响应文件中首轮报价表（报价表）内容与响应文件中相应内容不一致的，以首轮报价表（报价表）为准；</w:t>
      </w:r>
    </w:p>
    <w:p>
      <w:pPr>
        <w:pStyle w:val="129"/>
        <w:ind w:firstLine="386" w:firstLineChars="200"/>
        <w:jc w:val="left"/>
        <w:rPr>
          <w:rFonts w:ascii="宋体" w:hAnsi="宋体"/>
          <w:bCs/>
          <w:szCs w:val="21"/>
        </w:rPr>
      </w:pPr>
      <w:r>
        <w:rPr>
          <w:rFonts w:hint="eastAsia" w:ascii="宋体" w:hAnsi="宋体"/>
          <w:bCs/>
          <w:szCs w:val="21"/>
          <w:lang w:eastAsia="zh-CN"/>
        </w:rPr>
        <w:t>（2）</w:t>
      </w:r>
      <w:r>
        <w:rPr>
          <w:rFonts w:hint="eastAsia" w:ascii="宋体" w:hAnsi="宋体"/>
          <w:bCs/>
          <w:szCs w:val="21"/>
        </w:rPr>
        <w:t>大写金额和小写金额不一致的，以大写金额为准；</w:t>
      </w:r>
    </w:p>
    <w:p>
      <w:pPr>
        <w:pStyle w:val="129"/>
        <w:ind w:firstLine="386" w:firstLineChars="200"/>
        <w:jc w:val="left"/>
        <w:rPr>
          <w:rFonts w:ascii="宋体" w:hAnsi="宋体"/>
          <w:bCs/>
          <w:szCs w:val="21"/>
        </w:rPr>
      </w:pPr>
      <w:r>
        <w:rPr>
          <w:rFonts w:hint="eastAsia" w:ascii="宋体" w:hAnsi="宋体"/>
          <w:bCs/>
          <w:szCs w:val="21"/>
          <w:lang w:eastAsia="zh-CN"/>
        </w:rPr>
        <w:t>（3）</w:t>
      </w:r>
      <w:r>
        <w:rPr>
          <w:rFonts w:hint="eastAsia" w:ascii="宋体" w:hAnsi="宋体"/>
          <w:bCs/>
          <w:szCs w:val="21"/>
        </w:rPr>
        <w:t>单价金额小数点或者百分比有明显错位的，以首轮报价表的总价为准，并修改单价；</w:t>
      </w:r>
    </w:p>
    <w:p>
      <w:pPr>
        <w:pStyle w:val="129"/>
        <w:ind w:firstLine="386" w:firstLineChars="200"/>
        <w:jc w:val="left"/>
        <w:rPr>
          <w:rFonts w:ascii="宋体" w:hAnsi="宋体"/>
          <w:bCs/>
          <w:szCs w:val="21"/>
          <w:lang w:eastAsia="zh-CN"/>
        </w:rPr>
      </w:pPr>
      <w:r>
        <w:rPr>
          <w:rFonts w:hint="eastAsia" w:ascii="宋体" w:hAnsi="宋体"/>
          <w:bCs/>
          <w:szCs w:val="21"/>
          <w:lang w:eastAsia="zh-CN"/>
        </w:rPr>
        <w:t>（4）</w:t>
      </w:r>
      <w:r>
        <w:rPr>
          <w:rFonts w:hint="eastAsia" w:ascii="宋体" w:hAnsi="宋体"/>
          <w:bCs/>
          <w:szCs w:val="21"/>
        </w:rPr>
        <w:t>总价金额与按单价汇总金额不一致的，以单价金额计算结果为准。但是单价金额计算结果超过预算价的，对其按无效响应处理</w:t>
      </w:r>
      <w:r>
        <w:rPr>
          <w:rFonts w:hint="eastAsia" w:ascii="宋体" w:hAnsi="宋体"/>
          <w:bCs/>
          <w:szCs w:val="21"/>
          <w:lang w:eastAsia="zh-CN"/>
        </w:rPr>
        <w:t>。</w:t>
      </w:r>
    </w:p>
    <w:p>
      <w:pPr>
        <w:ind w:firstLine="386" w:firstLineChars="200"/>
        <w:jc w:val="left"/>
        <w:rPr>
          <w:rFonts w:ascii="宋体" w:hAnsi="宋体"/>
          <w:bCs/>
          <w:szCs w:val="21"/>
        </w:rPr>
      </w:pPr>
      <w:r>
        <w:rPr>
          <w:rFonts w:hint="eastAsia" w:ascii="宋体" w:hAnsi="宋体"/>
          <w:bCs/>
          <w:szCs w:val="21"/>
        </w:rPr>
        <w:t>注：</w:t>
      </w:r>
      <w:bookmarkStart w:id="57" w:name="_Hlk112011461"/>
      <w:r>
        <w:rPr>
          <w:rFonts w:hint="eastAsia" w:ascii="宋体" w:hAnsi="宋体"/>
          <w:bCs/>
          <w:szCs w:val="21"/>
        </w:rPr>
        <w:t>同时出现两种以上不一致的，按照前款规定的顺序进行价格澄清。供应商澄清后的价格加盖供应商公章，或法定代表人签字或盖章，或法定代表人授权委托人签字或盖章确认后产生约束力，但不得超出响应文件的范围或者改变响应文件的实质性内容，供应商不确认的，其响应无效</w:t>
      </w:r>
      <w:bookmarkEnd w:id="57"/>
      <w:r>
        <w:rPr>
          <w:rFonts w:hint="eastAsia" w:ascii="宋体" w:hAnsi="宋体"/>
          <w:bCs/>
          <w:szCs w:val="21"/>
        </w:rPr>
        <w:t>。</w:t>
      </w:r>
    </w:p>
    <w:p>
      <w:pPr>
        <w:pStyle w:val="5"/>
        <w:numPr>
          <w:ilvl w:val="0"/>
          <w:numId w:val="12"/>
        </w:numPr>
        <w:spacing w:before="120" w:after="120"/>
        <w:rPr>
          <w:rFonts w:ascii="宋体" w:hAnsi="宋体"/>
          <w:sz w:val="21"/>
          <w:szCs w:val="21"/>
        </w:rPr>
      </w:pPr>
      <w:bookmarkStart w:id="58" w:name="_Toc104040699"/>
      <w:r>
        <w:rPr>
          <w:rFonts w:hint="eastAsia" w:ascii="宋体" w:hAnsi="宋体"/>
          <w:sz w:val="21"/>
          <w:szCs w:val="21"/>
        </w:rPr>
        <w:t>评审程序</w:t>
      </w:r>
      <w:bookmarkEnd w:id="58"/>
    </w:p>
    <w:p>
      <w:pPr>
        <w:pStyle w:val="129"/>
        <w:numPr>
          <w:ilvl w:val="0"/>
          <w:numId w:val="14"/>
        </w:numPr>
        <w:jc w:val="left"/>
        <w:outlineLvl w:val="2"/>
        <w:rPr>
          <w:rFonts w:ascii="宋体" w:hAnsi="宋体"/>
          <w:b/>
          <w:szCs w:val="21"/>
        </w:rPr>
      </w:pPr>
      <w:r>
        <w:rPr>
          <w:rFonts w:hint="eastAsia" w:ascii="宋体" w:hAnsi="宋体"/>
          <w:b/>
          <w:szCs w:val="21"/>
        </w:rPr>
        <w:t>资格性审查和符合性审查</w:t>
      </w:r>
    </w:p>
    <w:p>
      <w:pPr>
        <w:pStyle w:val="21"/>
        <w:ind w:firstLine="386" w:firstLineChars="200"/>
        <w:rPr>
          <w:rFonts w:ascii="宋体" w:hAnsi="宋体"/>
          <w:szCs w:val="21"/>
        </w:rPr>
      </w:pPr>
      <w:r>
        <w:rPr>
          <w:rFonts w:hint="eastAsia" w:ascii="宋体" w:hAnsi="宋体"/>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21"/>
        <w:ind w:firstLine="386" w:firstLineChars="200"/>
        <w:rPr>
          <w:rFonts w:ascii="宋体" w:hAnsi="宋体"/>
          <w:szCs w:val="21"/>
        </w:rPr>
      </w:pPr>
      <w:r>
        <w:rPr>
          <w:rFonts w:hint="eastAsia" w:ascii="宋体" w:hAnsi="宋体"/>
          <w:szCs w:val="21"/>
        </w:rPr>
        <w:t>磋商小组对各磋商供应商进行资格性和符合性审查过程中，对初步被认定为初审不合格或无效响应者应实行及时告知，由磋商小组组长或采购人代表将集体意见及时告知报价当事人。</w:t>
      </w:r>
    </w:p>
    <w:p>
      <w:pPr>
        <w:ind w:firstLine="386" w:firstLineChars="200"/>
        <w:jc w:val="left"/>
        <w:outlineLvl w:val="3"/>
        <w:rPr>
          <w:rFonts w:ascii="宋体" w:hAnsi="宋体" w:cs="Futura-Heavy"/>
          <w:b/>
          <w:bCs/>
          <w:kern w:val="0"/>
          <w:szCs w:val="21"/>
        </w:rPr>
      </w:pPr>
      <w:r>
        <w:rPr>
          <w:rFonts w:hint="eastAsia" w:ascii="宋体" w:hAnsi="宋体" w:cs="Futura-Heavy"/>
          <w:b/>
          <w:bCs/>
          <w:kern w:val="0"/>
          <w:szCs w:val="21"/>
        </w:rPr>
        <w:t>表一：资格性审查表</w:t>
      </w:r>
      <w:bookmarkEnd w:id="52"/>
    </w:p>
    <w:tbl>
      <w:tblPr>
        <w:tblStyle w:val="49"/>
        <w:tblW w:w="471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3"/>
        <w:gridCol w:w="2330"/>
        <w:gridCol w:w="5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pPr>
              <w:snapToGrid w:val="0"/>
              <w:spacing w:beforeLines="50" w:afterLines="50" w:line="240" w:lineRule="auto"/>
              <w:jc w:val="center"/>
              <w:rPr>
                <w:rFonts w:ascii="宋体" w:hAnsi="宋体"/>
                <w:b/>
                <w:szCs w:val="21"/>
              </w:rPr>
            </w:pPr>
            <w:r>
              <w:rPr>
                <w:rFonts w:ascii="宋体" w:hAnsi="宋体"/>
                <w:b/>
                <w:szCs w:val="21"/>
              </w:rPr>
              <w:t>序号</w:t>
            </w:r>
          </w:p>
        </w:tc>
        <w:tc>
          <w:tcPr>
            <w:tcW w:w="4528" w:type="pct"/>
            <w:gridSpan w:val="2"/>
            <w:vAlign w:val="center"/>
          </w:tcPr>
          <w:p>
            <w:pPr>
              <w:snapToGrid w:val="0"/>
              <w:spacing w:beforeLines="50" w:afterLines="50" w:line="240" w:lineRule="auto"/>
              <w:jc w:val="center"/>
              <w:rPr>
                <w:rFonts w:ascii="宋体" w:hAnsi="宋体"/>
                <w:b/>
                <w:szCs w:val="21"/>
              </w:rPr>
            </w:pPr>
            <w:r>
              <w:rPr>
                <w:rFonts w:hint="eastAsia" w:ascii="宋体" w:hAnsi="宋体"/>
                <w:b/>
                <w:szCs w:val="21"/>
              </w:rPr>
              <w:t>资格审查内容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pPr>
              <w:pStyle w:val="129"/>
              <w:numPr>
                <w:ilvl w:val="0"/>
                <w:numId w:val="15"/>
              </w:numPr>
              <w:snapToGrid w:val="0"/>
              <w:spacing w:beforeLines="50" w:afterLines="50" w:line="240" w:lineRule="auto"/>
              <w:ind w:left="0" w:firstLine="0"/>
              <w:jc w:val="center"/>
              <w:rPr>
                <w:rFonts w:ascii="宋体" w:hAnsi="宋体"/>
                <w:bCs/>
                <w:szCs w:val="21"/>
              </w:rPr>
            </w:pPr>
          </w:p>
        </w:tc>
        <w:tc>
          <w:tcPr>
            <w:tcW w:w="1367" w:type="pct"/>
            <w:vAlign w:val="center"/>
          </w:tcPr>
          <w:p>
            <w:pPr>
              <w:snapToGrid w:val="0"/>
              <w:spacing w:beforeLines="50" w:afterLines="50" w:line="240" w:lineRule="auto"/>
              <w:jc w:val="left"/>
              <w:rPr>
                <w:rFonts w:ascii="宋体" w:hAnsi="宋体"/>
                <w:bCs/>
                <w:szCs w:val="21"/>
              </w:rPr>
            </w:pPr>
            <w:r>
              <w:rPr>
                <w:rFonts w:hint="eastAsia" w:ascii="宋体" w:hAnsi="宋体"/>
                <w:szCs w:val="21"/>
              </w:rPr>
              <w:t>具有独立承担民事责任的能力</w:t>
            </w:r>
          </w:p>
        </w:tc>
        <w:tc>
          <w:tcPr>
            <w:tcW w:w="3161" w:type="pct"/>
            <w:vAlign w:val="center"/>
          </w:tcPr>
          <w:p>
            <w:pPr>
              <w:rPr>
                <w:rFonts w:ascii="宋体" w:hAnsi="宋体"/>
                <w:szCs w:val="21"/>
              </w:rPr>
            </w:pPr>
            <w:r>
              <w:rPr>
                <w:rFonts w:hint="eastAsia" w:ascii="宋体" w:hAnsi="宋体"/>
                <w:szCs w:val="21"/>
              </w:rPr>
              <w:t>在中华人民共和国境内注册的法人或其他组织或自然人，投标（响应）时提交有效的营业执照（或事业法人登记证或身份证等相关证明）复印件。分支机构投标的，须提供总公司和分公司营业执照复印件，总公司出具给分支机构的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pPr>
              <w:pStyle w:val="129"/>
              <w:numPr>
                <w:ilvl w:val="0"/>
                <w:numId w:val="15"/>
              </w:numPr>
              <w:snapToGrid w:val="0"/>
              <w:spacing w:beforeLines="50" w:afterLines="50" w:line="240" w:lineRule="auto"/>
              <w:ind w:left="0" w:firstLine="0"/>
              <w:jc w:val="center"/>
              <w:rPr>
                <w:rFonts w:ascii="宋体" w:hAnsi="宋体"/>
                <w:bCs/>
                <w:szCs w:val="21"/>
              </w:rPr>
            </w:pPr>
          </w:p>
        </w:tc>
        <w:tc>
          <w:tcPr>
            <w:tcW w:w="1367" w:type="pct"/>
            <w:vAlign w:val="center"/>
          </w:tcPr>
          <w:p>
            <w:pPr>
              <w:snapToGrid w:val="0"/>
              <w:spacing w:beforeLines="50" w:afterLines="50" w:line="240" w:lineRule="auto"/>
              <w:jc w:val="left"/>
              <w:rPr>
                <w:rFonts w:ascii="宋体" w:hAnsi="宋体"/>
                <w:bCs/>
                <w:szCs w:val="21"/>
              </w:rPr>
            </w:pPr>
            <w:r>
              <w:rPr>
                <w:rFonts w:hint="eastAsia" w:ascii="宋体" w:hAnsi="宋体"/>
                <w:szCs w:val="21"/>
              </w:rPr>
              <w:t>有依法缴纳税收和社会保障资金的良好记录</w:t>
            </w:r>
          </w:p>
        </w:tc>
        <w:tc>
          <w:tcPr>
            <w:tcW w:w="3161" w:type="pct"/>
            <w:vAlign w:val="center"/>
          </w:tcPr>
          <w:p>
            <w:pPr>
              <w:snapToGrid w:val="0"/>
              <w:rPr>
                <w:rFonts w:ascii="宋体" w:hAnsi="宋体"/>
                <w:szCs w:val="21"/>
              </w:rPr>
            </w:pPr>
            <w:r>
              <w:rPr>
                <w:rFonts w:ascii="宋体" w:hAnsi="宋体"/>
                <w:szCs w:val="21"/>
              </w:rPr>
              <w:t>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pPr>
              <w:pStyle w:val="129"/>
              <w:numPr>
                <w:ilvl w:val="0"/>
                <w:numId w:val="15"/>
              </w:numPr>
              <w:snapToGrid w:val="0"/>
              <w:spacing w:beforeLines="50" w:afterLines="50" w:line="240" w:lineRule="auto"/>
              <w:ind w:left="0" w:firstLine="0"/>
              <w:jc w:val="center"/>
              <w:rPr>
                <w:rFonts w:ascii="宋体" w:hAnsi="宋体"/>
                <w:bCs/>
                <w:szCs w:val="21"/>
              </w:rPr>
            </w:pPr>
          </w:p>
        </w:tc>
        <w:tc>
          <w:tcPr>
            <w:tcW w:w="1367" w:type="pct"/>
            <w:vAlign w:val="center"/>
          </w:tcPr>
          <w:p>
            <w:pPr>
              <w:snapToGrid w:val="0"/>
              <w:spacing w:beforeLines="50" w:afterLines="50" w:line="240" w:lineRule="auto"/>
              <w:jc w:val="left"/>
              <w:rPr>
                <w:rFonts w:ascii="宋体" w:hAnsi="宋体"/>
                <w:bCs/>
                <w:szCs w:val="21"/>
              </w:rPr>
            </w:pPr>
            <w:r>
              <w:rPr>
                <w:rFonts w:hint="eastAsia" w:ascii="宋体" w:hAnsi="宋体"/>
                <w:szCs w:val="21"/>
              </w:rPr>
              <w:t>具有良好的商业信誉和健全的财务会计制度</w:t>
            </w:r>
          </w:p>
        </w:tc>
        <w:tc>
          <w:tcPr>
            <w:tcW w:w="3161" w:type="pct"/>
            <w:vAlign w:val="center"/>
          </w:tcPr>
          <w:p>
            <w:pPr>
              <w:snapToGrid w:val="0"/>
              <w:rPr>
                <w:rFonts w:ascii="宋体" w:hAnsi="宋体"/>
                <w:bCs/>
                <w:szCs w:val="21"/>
              </w:rPr>
            </w:pPr>
            <w:r>
              <w:rPr>
                <w:rFonts w:ascii="宋体" w:hAnsi="宋体"/>
                <w:szCs w:val="21"/>
              </w:rPr>
              <w:t>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pPr>
              <w:pStyle w:val="129"/>
              <w:numPr>
                <w:ilvl w:val="0"/>
                <w:numId w:val="15"/>
              </w:numPr>
              <w:snapToGrid w:val="0"/>
              <w:spacing w:beforeLines="50" w:afterLines="50" w:line="240" w:lineRule="auto"/>
              <w:ind w:left="0" w:firstLine="0"/>
              <w:jc w:val="center"/>
              <w:rPr>
                <w:rFonts w:ascii="宋体" w:hAnsi="宋体"/>
                <w:bCs/>
                <w:szCs w:val="21"/>
              </w:rPr>
            </w:pPr>
          </w:p>
        </w:tc>
        <w:tc>
          <w:tcPr>
            <w:tcW w:w="1367" w:type="pct"/>
            <w:vAlign w:val="center"/>
          </w:tcPr>
          <w:p>
            <w:pPr>
              <w:snapToGrid w:val="0"/>
              <w:spacing w:beforeLines="50" w:afterLines="50" w:line="240" w:lineRule="auto"/>
              <w:jc w:val="left"/>
              <w:rPr>
                <w:rFonts w:ascii="宋体" w:hAnsi="宋体"/>
                <w:bCs/>
                <w:szCs w:val="21"/>
              </w:rPr>
            </w:pPr>
            <w:r>
              <w:rPr>
                <w:rFonts w:hint="eastAsia" w:ascii="宋体" w:hAnsi="宋体"/>
                <w:szCs w:val="21"/>
              </w:rPr>
              <w:t>履行合同所必需的设备和专业技术能力</w:t>
            </w:r>
          </w:p>
        </w:tc>
        <w:tc>
          <w:tcPr>
            <w:tcW w:w="3161" w:type="pct"/>
            <w:vAlign w:val="center"/>
          </w:tcPr>
          <w:p>
            <w:pPr>
              <w:snapToGrid w:val="0"/>
              <w:rPr>
                <w:rFonts w:ascii="宋体" w:hAnsi="宋体"/>
                <w:bCs/>
                <w:szCs w:val="21"/>
              </w:rPr>
            </w:pPr>
            <w:r>
              <w:rPr>
                <w:rFonts w:ascii="宋体" w:hAnsi="宋体"/>
                <w:szCs w:val="21"/>
              </w:rPr>
              <w:t>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471" w:type="pct"/>
            <w:vAlign w:val="center"/>
          </w:tcPr>
          <w:p>
            <w:pPr>
              <w:pStyle w:val="129"/>
              <w:numPr>
                <w:ilvl w:val="0"/>
                <w:numId w:val="15"/>
              </w:numPr>
              <w:snapToGrid w:val="0"/>
              <w:spacing w:beforeLines="50" w:afterLines="50" w:line="240" w:lineRule="auto"/>
              <w:ind w:left="0" w:firstLine="0"/>
              <w:jc w:val="center"/>
              <w:rPr>
                <w:rFonts w:ascii="宋体" w:hAnsi="宋体"/>
                <w:bCs/>
                <w:szCs w:val="21"/>
              </w:rPr>
            </w:pPr>
          </w:p>
        </w:tc>
        <w:tc>
          <w:tcPr>
            <w:tcW w:w="1367" w:type="pct"/>
            <w:vAlign w:val="center"/>
          </w:tcPr>
          <w:p>
            <w:pPr>
              <w:snapToGrid w:val="0"/>
              <w:spacing w:beforeLines="50" w:afterLines="50" w:line="240" w:lineRule="auto"/>
              <w:jc w:val="left"/>
              <w:rPr>
                <w:rFonts w:ascii="宋体" w:hAnsi="宋体"/>
                <w:bCs/>
                <w:szCs w:val="21"/>
              </w:rPr>
            </w:pPr>
            <w:r>
              <w:rPr>
                <w:rFonts w:hint="eastAsia" w:ascii="宋体" w:hAnsi="宋体"/>
                <w:szCs w:val="21"/>
              </w:rPr>
              <w:t>参加采购活动前3年内，在经营活动中没有重大违法记录</w:t>
            </w:r>
          </w:p>
        </w:tc>
        <w:tc>
          <w:tcPr>
            <w:tcW w:w="3161" w:type="pct"/>
            <w:vAlign w:val="center"/>
          </w:tcPr>
          <w:p>
            <w:pPr>
              <w:widowControl w:val="0"/>
              <w:rPr>
                <w:rFonts w:ascii="宋体" w:hAnsi="宋体"/>
                <w:bCs/>
                <w:szCs w:val="21"/>
              </w:rPr>
            </w:pPr>
            <w:r>
              <w:rPr>
                <w:rFonts w:hint="eastAsia" w:ascii="宋体" w:hAnsi="宋体"/>
                <w:szCs w:val="21"/>
              </w:rPr>
              <w:t>提供《关于资格的声明函》。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pPr>
              <w:pStyle w:val="129"/>
              <w:numPr>
                <w:ilvl w:val="0"/>
                <w:numId w:val="15"/>
              </w:numPr>
              <w:snapToGrid w:val="0"/>
              <w:spacing w:beforeLines="50" w:afterLines="50" w:line="240" w:lineRule="auto"/>
              <w:ind w:left="0" w:firstLine="0"/>
              <w:jc w:val="center"/>
              <w:rPr>
                <w:rFonts w:ascii="宋体" w:hAnsi="宋体"/>
                <w:bCs/>
                <w:szCs w:val="21"/>
              </w:rPr>
            </w:pPr>
          </w:p>
        </w:tc>
        <w:tc>
          <w:tcPr>
            <w:tcW w:w="1367" w:type="pct"/>
            <w:vAlign w:val="center"/>
          </w:tcPr>
          <w:p>
            <w:pPr>
              <w:snapToGrid w:val="0"/>
              <w:spacing w:beforeLines="50" w:afterLines="50" w:line="240" w:lineRule="auto"/>
              <w:jc w:val="left"/>
              <w:rPr>
                <w:rFonts w:ascii="宋体" w:hAnsi="宋体"/>
                <w:bCs/>
                <w:szCs w:val="21"/>
              </w:rPr>
            </w:pPr>
            <w:r>
              <w:rPr>
                <w:rFonts w:hint="eastAsia" w:ascii="宋体" w:hAnsi="宋体"/>
                <w:bCs/>
                <w:szCs w:val="21"/>
              </w:rPr>
              <w:t>法律、行政法规规定的其他条件</w:t>
            </w:r>
          </w:p>
        </w:tc>
        <w:tc>
          <w:tcPr>
            <w:tcW w:w="3161" w:type="pct"/>
            <w:vAlign w:val="center"/>
          </w:tcPr>
          <w:p>
            <w:pPr>
              <w:snapToGrid w:val="0"/>
              <w:rPr>
                <w:rFonts w:ascii="宋体" w:hAnsi="宋体"/>
              </w:rPr>
            </w:pPr>
            <w:r>
              <w:rPr>
                <w:rFonts w:hint="eastAsia" w:ascii="宋体" w:hAnsi="宋体"/>
              </w:rPr>
              <w:t>单位负责人为同一人或者存在直接控股、管理关系的不同供应商，不得同时参加本采购项目（或采购包）投标（响应）。为本项目提供整体设计、规范编制或者项目管理、监理、检测等服务的供应商，不得再参与本项目投标（响应）。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pPr>
              <w:pStyle w:val="129"/>
              <w:numPr>
                <w:ilvl w:val="0"/>
                <w:numId w:val="15"/>
              </w:numPr>
              <w:snapToGrid w:val="0"/>
              <w:spacing w:beforeLines="50" w:afterLines="50" w:line="240" w:lineRule="auto"/>
              <w:ind w:left="0" w:firstLine="0"/>
              <w:jc w:val="center"/>
              <w:rPr>
                <w:rFonts w:ascii="宋体" w:hAnsi="宋体"/>
                <w:bCs/>
                <w:szCs w:val="21"/>
              </w:rPr>
            </w:pPr>
          </w:p>
        </w:tc>
        <w:tc>
          <w:tcPr>
            <w:tcW w:w="1367" w:type="pct"/>
            <w:vAlign w:val="center"/>
          </w:tcPr>
          <w:p>
            <w:pPr>
              <w:snapToGrid w:val="0"/>
              <w:spacing w:beforeLines="50" w:afterLines="50" w:line="240" w:lineRule="auto"/>
              <w:jc w:val="left"/>
              <w:rPr>
                <w:rFonts w:ascii="宋体" w:hAnsi="宋体"/>
                <w:bCs/>
                <w:szCs w:val="21"/>
              </w:rPr>
            </w:pPr>
            <w:r>
              <w:rPr>
                <w:rFonts w:hint="eastAsia" w:ascii="宋体" w:hAnsi="宋体"/>
                <w:bCs/>
                <w:szCs w:val="21"/>
              </w:rPr>
              <w:t>信用记录</w:t>
            </w:r>
          </w:p>
        </w:tc>
        <w:tc>
          <w:tcPr>
            <w:tcW w:w="3161" w:type="pct"/>
            <w:vAlign w:val="center"/>
          </w:tcPr>
          <w:p>
            <w:pPr>
              <w:snapToGrid w:val="0"/>
              <w:rPr>
                <w:rFonts w:ascii="宋体" w:hAnsi="宋体"/>
              </w:rPr>
            </w:pPr>
            <w:r>
              <w:rPr>
                <w:rFonts w:hint="eastAsia" w:ascii="宋体" w:hAnsi="宋体"/>
              </w:rPr>
              <w:t>供应商未被列入“信用中国”网站（www.creditchina.gov.cn）以下任意名单之一：①失信被执行人名单；②重大税收违法失信主体；③政府采购严重违法失信行为记录名单。同时，不处于中国政府采购网（www.ccgp.gov.cn）“政府采购严重违法失信行为信息记录”中的禁止参加政府采购活动期间。（以采购代理机构于响应文件提交截止时间当天在上述网站查询结果为准，如在上述网站查询结果均显示没有相关记录，视为没有上述不良信用记录；如相关失信记录已失效，供应商须提供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pPr>
              <w:pStyle w:val="129"/>
              <w:numPr>
                <w:ilvl w:val="0"/>
                <w:numId w:val="15"/>
              </w:numPr>
              <w:snapToGrid w:val="0"/>
              <w:spacing w:beforeLines="50" w:afterLines="50" w:line="240" w:lineRule="auto"/>
              <w:ind w:left="0" w:firstLine="0"/>
              <w:jc w:val="center"/>
              <w:rPr>
                <w:rFonts w:ascii="宋体" w:hAnsi="宋体"/>
                <w:bCs/>
                <w:szCs w:val="21"/>
              </w:rPr>
            </w:pPr>
          </w:p>
        </w:tc>
        <w:tc>
          <w:tcPr>
            <w:tcW w:w="1367" w:type="pct"/>
            <w:vAlign w:val="center"/>
          </w:tcPr>
          <w:p>
            <w:pPr>
              <w:snapToGrid w:val="0"/>
              <w:spacing w:beforeLines="50" w:afterLines="50" w:line="240" w:lineRule="auto"/>
              <w:jc w:val="left"/>
              <w:rPr>
                <w:rFonts w:ascii="宋体" w:hAnsi="宋体"/>
                <w:szCs w:val="21"/>
              </w:rPr>
            </w:pPr>
            <w:r>
              <w:rPr>
                <w:rFonts w:hint="eastAsia" w:ascii="宋体" w:hAnsi="宋体"/>
                <w:szCs w:val="21"/>
              </w:rPr>
              <w:t>企业资质要求</w:t>
            </w:r>
          </w:p>
        </w:tc>
        <w:tc>
          <w:tcPr>
            <w:tcW w:w="3161" w:type="pct"/>
            <w:vAlign w:val="center"/>
          </w:tcPr>
          <w:p>
            <w:pPr>
              <w:rPr>
                <w:rFonts w:ascii="宋体" w:hAnsi="宋体"/>
                <w:szCs w:val="21"/>
              </w:rPr>
            </w:pPr>
            <w:r>
              <w:rPr>
                <w:rFonts w:hint="eastAsia" w:ascii="宋体" w:hAnsi="宋体"/>
                <w:szCs w:val="21"/>
              </w:rPr>
              <w:t>供应商具有（1）有效期内的建筑工程施工总承包三级（或以上）企业资质（提供证书复印件）；（2）有效期内的安全生产许可证（提供证书复印件）。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pPr>
              <w:pStyle w:val="129"/>
              <w:numPr>
                <w:ilvl w:val="0"/>
                <w:numId w:val="15"/>
              </w:numPr>
              <w:snapToGrid w:val="0"/>
              <w:spacing w:beforeLines="50" w:afterLines="50" w:line="240" w:lineRule="auto"/>
              <w:ind w:left="0" w:firstLine="0"/>
              <w:jc w:val="center"/>
              <w:rPr>
                <w:rFonts w:ascii="宋体" w:hAnsi="宋体"/>
                <w:bCs/>
                <w:szCs w:val="21"/>
              </w:rPr>
            </w:pPr>
          </w:p>
        </w:tc>
        <w:tc>
          <w:tcPr>
            <w:tcW w:w="1367" w:type="pct"/>
            <w:vAlign w:val="center"/>
          </w:tcPr>
          <w:p>
            <w:pPr>
              <w:snapToGrid w:val="0"/>
              <w:spacing w:beforeLines="50" w:afterLines="50" w:line="240" w:lineRule="auto"/>
              <w:jc w:val="left"/>
              <w:rPr>
                <w:rFonts w:ascii="宋体" w:hAnsi="宋体"/>
                <w:szCs w:val="21"/>
              </w:rPr>
            </w:pPr>
            <w:r>
              <w:rPr>
                <w:rFonts w:hint="eastAsia" w:ascii="宋体" w:hAnsi="宋体"/>
                <w:szCs w:val="21"/>
              </w:rPr>
              <w:t>经理资质要求</w:t>
            </w:r>
          </w:p>
        </w:tc>
        <w:tc>
          <w:tcPr>
            <w:tcW w:w="3161" w:type="pct"/>
            <w:vAlign w:val="center"/>
          </w:tcPr>
          <w:p>
            <w:pPr>
              <w:rPr>
                <w:rFonts w:ascii="宋体" w:hAnsi="宋体"/>
                <w:szCs w:val="21"/>
              </w:rPr>
            </w:pPr>
            <w:r>
              <w:rPr>
                <w:rFonts w:hint="eastAsia" w:ascii="宋体" w:hAnsi="宋体"/>
                <w:szCs w:val="21"/>
              </w:rPr>
              <w:t>拟委派项目经理须具备（1）二级建造师（建筑工程专业）或以上资格（提供相关证书复印件）；（2）有效期内的安全生产考核合格证（B证）或能够提供省建筑施工企业管理人员安全生产考核信息系统安全生产管理人员证书信息的网页截图（提供证书复印件或网页截图）；（3）没有在其他在建项目中担任项目负责人（提供书面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pPr>
              <w:pStyle w:val="129"/>
              <w:numPr>
                <w:ilvl w:val="0"/>
                <w:numId w:val="15"/>
              </w:numPr>
              <w:snapToGrid w:val="0"/>
              <w:spacing w:beforeLines="50" w:afterLines="50" w:line="240" w:lineRule="auto"/>
              <w:ind w:left="0" w:firstLine="0"/>
              <w:jc w:val="center"/>
              <w:rPr>
                <w:rFonts w:ascii="宋体" w:hAnsi="宋体"/>
                <w:bCs/>
                <w:szCs w:val="21"/>
              </w:rPr>
            </w:pPr>
          </w:p>
        </w:tc>
        <w:tc>
          <w:tcPr>
            <w:tcW w:w="1367" w:type="pct"/>
            <w:vAlign w:val="center"/>
          </w:tcPr>
          <w:p>
            <w:pPr>
              <w:snapToGrid w:val="0"/>
              <w:spacing w:beforeLines="50" w:afterLines="50" w:line="240" w:lineRule="auto"/>
              <w:jc w:val="left"/>
              <w:rPr>
                <w:rFonts w:ascii="宋体" w:hAnsi="宋体"/>
                <w:szCs w:val="21"/>
              </w:rPr>
            </w:pPr>
            <w:r>
              <w:rPr>
                <w:rFonts w:hint="eastAsia" w:ascii="宋体" w:hAnsi="宋体"/>
                <w:szCs w:val="21"/>
              </w:rPr>
              <w:t>其他要求</w:t>
            </w:r>
          </w:p>
        </w:tc>
        <w:tc>
          <w:tcPr>
            <w:tcW w:w="3161" w:type="pct"/>
            <w:vAlign w:val="center"/>
          </w:tcPr>
          <w:p>
            <w:pPr>
              <w:pStyle w:val="21"/>
            </w:pPr>
            <w:r>
              <w:rPr>
                <w:rFonts w:hint="eastAsia" w:ascii="宋体" w:hAnsi="宋体"/>
                <w:szCs w:val="21"/>
              </w:rPr>
              <w:t>本项目不接受联合体投标，不允许转包（提供承诺函）。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pPr>
              <w:snapToGrid w:val="0"/>
              <w:spacing w:beforeLines="50" w:afterLines="50" w:line="240" w:lineRule="auto"/>
              <w:jc w:val="center"/>
              <w:rPr>
                <w:rFonts w:ascii="宋体" w:hAnsi="宋体"/>
                <w:b/>
                <w:szCs w:val="21"/>
              </w:rPr>
            </w:pPr>
            <w:r>
              <w:rPr>
                <w:rFonts w:hint="eastAsia" w:ascii="宋体" w:hAnsi="宋体"/>
                <w:b/>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pPr>
              <w:spacing w:beforeLines="50" w:afterLines="50" w:line="240" w:lineRule="auto"/>
              <w:jc w:val="left"/>
              <w:rPr>
                <w:rFonts w:ascii="宋体" w:hAnsi="宋体"/>
                <w:bCs/>
                <w:szCs w:val="21"/>
              </w:rPr>
            </w:pPr>
            <w:r>
              <w:rPr>
                <w:rFonts w:hint="eastAsia" w:ascii="宋体" w:hAnsi="宋体"/>
                <w:bCs/>
                <w:szCs w:val="21"/>
              </w:rPr>
              <w:t>填表说明：</w:t>
            </w:r>
          </w:p>
          <w:p>
            <w:pPr>
              <w:spacing w:beforeLines="50" w:afterLines="50" w:line="240" w:lineRule="auto"/>
              <w:jc w:val="left"/>
              <w:rPr>
                <w:rFonts w:ascii="宋体" w:hAnsi="宋体"/>
                <w:bCs/>
                <w:szCs w:val="21"/>
              </w:rPr>
            </w:pPr>
            <w:r>
              <w:rPr>
                <w:rFonts w:hint="eastAsia" w:ascii="宋体" w:hAnsi="宋体"/>
                <w:bCs/>
                <w:szCs w:val="21"/>
              </w:rPr>
              <w:t>1.“通过”打“√”，“未通过”打“×”；</w:t>
            </w:r>
          </w:p>
          <w:p>
            <w:pPr>
              <w:spacing w:beforeLines="50" w:afterLines="50" w:line="240" w:lineRule="auto"/>
              <w:jc w:val="left"/>
              <w:rPr>
                <w:rFonts w:ascii="宋体" w:hAnsi="宋体"/>
                <w:bCs/>
                <w:szCs w:val="21"/>
              </w:rPr>
            </w:pPr>
            <w:r>
              <w:rPr>
                <w:rFonts w:hint="eastAsia" w:ascii="宋体" w:hAnsi="宋体"/>
                <w:bCs/>
                <w:szCs w:val="21"/>
              </w:rPr>
              <w:t>2.在结论栏中填写“通过”或“未通过”；</w:t>
            </w:r>
          </w:p>
          <w:p>
            <w:pPr>
              <w:spacing w:beforeLines="50" w:afterLines="50" w:line="240" w:lineRule="auto"/>
              <w:jc w:val="left"/>
              <w:rPr>
                <w:rFonts w:ascii="宋体" w:hAnsi="宋体"/>
                <w:b/>
                <w:szCs w:val="21"/>
              </w:rPr>
            </w:pPr>
            <w:r>
              <w:rPr>
                <w:rFonts w:hint="eastAsia" w:ascii="宋体" w:hAnsi="宋体"/>
                <w:bCs/>
                <w:szCs w:val="21"/>
              </w:rPr>
              <w:t>3.投标人有一个“未通过”，审查结论视为“未通过”。</w:t>
            </w:r>
          </w:p>
        </w:tc>
      </w:tr>
    </w:tbl>
    <w:p>
      <w:pPr>
        <w:ind w:firstLine="386" w:firstLineChars="200"/>
        <w:jc w:val="left"/>
        <w:outlineLvl w:val="3"/>
        <w:rPr>
          <w:rFonts w:ascii="宋体" w:hAnsi="宋体" w:cs="Futura-Heavy"/>
          <w:b/>
          <w:bCs/>
          <w:kern w:val="0"/>
          <w:szCs w:val="21"/>
        </w:rPr>
      </w:pPr>
      <w:r>
        <w:rPr>
          <w:rFonts w:hint="eastAsia" w:ascii="宋体" w:hAnsi="宋体" w:cs="Futura-Heavy"/>
          <w:b/>
          <w:bCs/>
          <w:kern w:val="0"/>
          <w:szCs w:val="21"/>
        </w:rPr>
        <w:t>表二：符合性审查表</w:t>
      </w:r>
    </w:p>
    <w:tbl>
      <w:tblPr>
        <w:tblStyle w:val="49"/>
        <w:tblW w:w="47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5"/>
        <w:gridCol w:w="2641"/>
        <w:gridCol w:w="5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456" w:type="pct"/>
            <w:vAlign w:val="center"/>
          </w:tcPr>
          <w:p>
            <w:pPr>
              <w:snapToGrid w:val="0"/>
              <w:spacing w:beforeLines="50" w:afterLines="50" w:line="240" w:lineRule="auto"/>
              <w:jc w:val="center"/>
              <w:rPr>
                <w:rFonts w:ascii="宋体" w:hAnsi="宋体"/>
                <w:b/>
                <w:szCs w:val="21"/>
              </w:rPr>
            </w:pPr>
            <w:r>
              <w:rPr>
                <w:rFonts w:ascii="宋体" w:hAnsi="宋体"/>
                <w:b/>
                <w:szCs w:val="21"/>
              </w:rPr>
              <w:t>序号</w:t>
            </w:r>
          </w:p>
        </w:tc>
        <w:tc>
          <w:tcPr>
            <w:tcW w:w="1553" w:type="pct"/>
            <w:vAlign w:val="center"/>
          </w:tcPr>
          <w:p>
            <w:pPr>
              <w:snapToGrid w:val="0"/>
              <w:spacing w:beforeLines="50" w:afterLines="50" w:line="240" w:lineRule="auto"/>
              <w:jc w:val="center"/>
              <w:rPr>
                <w:rFonts w:ascii="宋体" w:hAnsi="宋体"/>
                <w:b/>
                <w:szCs w:val="21"/>
              </w:rPr>
            </w:pPr>
            <w:r>
              <w:rPr>
                <w:rFonts w:hint="eastAsia" w:ascii="宋体" w:hAnsi="宋体"/>
                <w:b/>
                <w:szCs w:val="21"/>
              </w:rPr>
              <w:t>评审点要求概况</w:t>
            </w:r>
          </w:p>
        </w:tc>
        <w:tc>
          <w:tcPr>
            <w:tcW w:w="2990" w:type="pct"/>
            <w:vAlign w:val="center"/>
          </w:tcPr>
          <w:p>
            <w:pPr>
              <w:snapToGrid w:val="0"/>
              <w:spacing w:beforeLines="50" w:afterLines="50" w:line="240" w:lineRule="auto"/>
              <w:jc w:val="center"/>
              <w:rPr>
                <w:rFonts w:ascii="宋体" w:hAnsi="宋体"/>
                <w:b/>
                <w:szCs w:val="21"/>
              </w:rPr>
            </w:pPr>
            <w:r>
              <w:rPr>
                <w:rFonts w:hint="eastAsia" w:ascii="宋体" w:hAnsi="宋体"/>
                <w:b/>
                <w:szCs w:val="21"/>
              </w:rPr>
              <w:t>评审点具体描述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456" w:type="pct"/>
            <w:vAlign w:val="center"/>
          </w:tcPr>
          <w:p>
            <w:pPr>
              <w:pStyle w:val="129"/>
              <w:numPr>
                <w:ilvl w:val="0"/>
                <w:numId w:val="16"/>
              </w:numPr>
              <w:spacing w:line="240" w:lineRule="auto"/>
              <w:ind w:left="0" w:firstLine="0"/>
              <w:jc w:val="center"/>
              <w:rPr>
                <w:rFonts w:ascii="宋体" w:hAnsi="宋体"/>
              </w:rPr>
            </w:pPr>
          </w:p>
        </w:tc>
        <w:tc>
          <w:tcPr>
            <w:tcW w:w="1553" w:type="pct"/>
            <w:vAlign w:val="center"/>
          </w:tcPr>
          <w:p>
            <w:pPr>
              <w:snapToGrid w:val="0"/>
              <w:spacing w:beforeLines="50" w:afterLines="50" w:line="240" w:lineRule="auto"/>
              <w:jc w:val="center"/>
              <w:rPr>
                <w:rFonts w:ascii="宋体" w:hAnsi="宋体"/>
                <w:bCs/>
                <w:szCs w:val="21"/>
              </w:rPr>
            </w:pPr>
            <w:r>
              <w:rPr>
                <w:rFonts w:hint="eastAsia" w:ascii="宋体" w:hAnsi="宋体"/>
                <w:bCs/>
                <w:szCs w:val="21"/>
              </w:rPr>
              <w:t>响应承诺函</w:t>
            </w:r>
          </w:p>
        </w:tc>
        <w:tc>
          <w:tcPr>
            <w:tcW w:w="2990" w:type="pct"/>
            <w:vAlign w:val="center"/>
          </w:tcPr>
          <w:p>
            <w:pPr>
              <w:snapToGrid w:val="0"/>
              <w:spacing w:beforeLines="50" w:afterLines="50" w:line="240" w:lineRule="auto"/>
              <w:rPr>
                <w:rFonts w:ascii="宋体" w:hAnsi="宋体"/>
                <w:bCs/>
                <w:szCs w:val="21"/>
              </w:rPr>
            </w:pPr>
            <w:r>
              <w:rPr>
                <w:rFonts w:hint="eastAsia" w:ascii="宋体" w:hAnsi="宋体"/>
                <w:bCs/>
                <w:szCs w:val="21"/>
              </w:rPr>
              <w:t>按采购文件要求提交响应承诺函，内容完整，无重大错漏，按对应格式文件签署和盖章。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456" w:type="pct"/>
            <w:vAlign w:val="center"/>
          </w:tcPr>
          <w:p>
            <w:pPr>
              <w:pStyle w:val="129"/>
              <w:numPr>
                <w:ilvl w:val="0"/>
                <w:numId w:val="16"/>
              </w:numPr>
              <w:spacing w:line="240" w:lineRule="auto"/>
              <w:ind w:left="0" w:firstLine="0"/>
              <w:jc w:val="center"/>
              <w:rPr>
                <w:rFonts w:ascii="宋体" w:hAnsi="宋体"/>
              </w:rPr>
            </w:pPr>
          </w:p>
        </w:tc>
        <w:tc>
          <w:tcPr>
            <w:tcW w:w="1553" w:type="pct"/>
            <w:vAlign w:val="center"/>
          </w:tcPr>
          <w:p>
            <w:pPr>
              <w:snapToGrid w:val="0"/>
              <w:spacing w:beforeLines="50" w:afterLines="50" w:line="240" w:lineRule="auto"/>
              <w:jc w:val="center"/>
              <w:rPr>
                <w:rFonts w:ascii="宋体" w:hAnsi="宋体"/>
                <w:bCs/>
                <w:szCs w:val="21"/>
              </w:rPr>
            </w:pPr>
            <w:r>
              <w:rPr>
                <w:rFonts w:hint="eastAsia" w:ascii="宋体" w:hAnsi="宋体"/>
                <w:bCs/>
                <w:szCs w:val="21"/>
              </w:rPr>
              <w:t>响应</w:t>
            </w:r>
            <w:r>
              <w:rPr>
                <w:rFonts w:ascii="宋体" w:hAnsi="宋体"/>
                <w:bCs/>
                <w:szCs w:val="21"/>
              </w:rPr>
              <w:t>有效期</w:t>
            </w:r>
          </w:p>
        </w:tc>
        <w:tc>
          <w:tcPr>
            <w:tcW w:w="2990" w:type="pct"/>
            <w:vAlign w:val="center"/>
          </w:tcPr>
          <w:p>
            <w:pPr>
              <w:snapToGrid w:val="0"/>
              <w:spacing w:beforeLines="50" w:afterLines="50" w:line="240" w:lineRule="auto"/>
              <w:rPr>
                <w:rFonts w:ascii="宋体" w:hAnsi="宋体"/>
                <w:bCs/>
                <w:szCs w:val="21"/>
              </w:rPr>
            </w:pPr>
            <w:r>
              <w:rPr>
                <w:rFonts w:hint="eastAsia" w:ascii="宋体" w:hAnsi="宋体"/>
                <w:bCs/>
                <w:szCs w:val="21"/>
              </w:rPr>
              <w:t>响应有效期符合采购文件要求。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456" w:type="pct"/>
            <w:vAlign w:val="center"/>
          </w:tcPr>
          <w:p>
            <w:pPr>
              <w:pStyle w:val="129"/>
              <w:numPr>
                <w:ilvl w:val="0"/>
                <w:numId w:val="16"/>
              </w:numPr>
              <w:spacing w:line="240" w:lineRule="auto"/>
              <w:ind w:left="0" w:firstLine="0"/>
              <w:jc w:val="center"/>
              <w:rPr>
                <w:rFonts w:ascii="宋体" w:hAnsi="宋体"/>
              </w:rPr>
            </w:pPr>
          </w:p>
        </w:tc>
        <w:tc>
          <w:tcPr>
            <w:tcW w:w="1553" w:type="pct"/>
            <w:vAlign w:val="center"/>
          </w:tcPr>
          <w:p>
            <w:pPr>
              <w:snapToGrid w:val="0"/>
              <w:spacing w:beforeLines="50" w:afterLines="50" w:line="240" w:lineRule="auto"/>
              <w:jc w:val="center"/>
              <w:rPr>
                <w:rFonts w:ascii="宋体" w:hAnsi="宋体"/>
                <w:bCs/>
                <w:szCs w:val="21"/>
              </w:rPr>
            </w:pPr>
            <w:r>
              <w:rPr>
                <w:rFonts w:hint="eastAsia" w:ascii="宋体" w:hAnsi="宋体"/>
                <w:bCs/>
                <w:szCs w:val="21"/>
              </w:rPr>
              <w:t>响应</w:t>
            </w:r>
            <w:r>
              <w:rPr>
                <w:rFonts w:ascii="宋体" w:hAnsi="宋体"/>
                <w:bCs/>
                <w:szCs w:val="21"/>
              </w:rPr>
              <w:t>报价</w:t>
            </w:r>
          </w:p>
        </w:tc>
        <w:tc>
          <w:tcPr>
            <w:tcW w:w="2990" w:type="pct"/>
            <w:vAlign w:val="center"/>
          </w:tcPr>
          <w:p>
            <w:pPr>
              <w:snapToGrid w:val="0"/>
              <w:spacing w:beforeLines="50" w:afterLines="50" w:line="240" w:lineRule="auto"/>
              <w:rPr>
                <w:rFonts w:ascii="宋体" w:hAnsi="宋体"/>
                <w:bCs/>
                <w:szCs w:val="21"/>
              </w:rPr>
            </w:pPr>
            <w:r>
              <w:rPr>
                <w:rFonts w:hint="eastAsia" w:ascii="宋体" w:hAnsi="宋体"/>
                <w:bCs/>
                <w:szCs w:val="21"/>
              </w:rPr>
              <w:t>响应报价没超过采购预算/最高限价，暂列金额、暂估价和绿色施工安全防护措施费按采购文件要求填报。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456" w:type="pct"/>
            <w:vAlign w:val="center"/>
          </w:tcPr>
          <w:p>
            <w:pPr>
              <w:pStyle w:val="129"/>
              <w:numPr>
                <w:ilvl w:val="0"/>
                <w:numId w:val="16"/>
              </w:numPr>
              <w:spacing w:line="240" w:lineRule="auto"/>
              <w:ind w:left="0" w:firstLine="0"/>
              <w:jc w:val="center"/>
              <w:rPr>
                <w:rFonts w:ascii="宋体" w:hAnsi="宋体"/>
              </w:rPr>
            </w:pPr>
          </w:p>
        </w:tc>
        <w:tc>
          <w:tcPr>
            <w:tcW w:w="1553" w:type="pct"/>
            <w:vAlign w:val="center"/>
          </w:tcPr>
          <w:p>
            <w:pPr>
              <w:snapToGrid w:val="0"/>
              <w:spacing w:beforeLines="50" w:afterLines="50" w:line="240" w:lineRule="auto"/>
              <w:jc w:val="center"/>
              <w:rPr>
                <w:rFonts w:ascii="宋体" w:hAnsi="宋体"/>
                <w:bCs/>
                <w:szCs w:val="21"/>
              </w:rPr>
            </w:pPr>
            <w:r>
              <w:rPr>
                <w:rFonts w:hint="eastAsia" w:ascii="宋体" w:hAnsi="宋体"/>
                <w:bCs/>
                <w:szCs w:val="21"/>
              </w:rPr>
              <w:t>响应</w:t>
            </w:r>
            <w:r>
              <w:rPr>
                <w:rFonts w:ascii="宋体" w:hAnsi="宋体"/>
                <w:bCs/>
                <w:szCs w:val="21"/>
              </w:rPr>
              <w:t>文件</w:t>
            </w:r>
            <w:r>
              <w:rPr>
                <w:rFonts w:hint="eastAsia" w:ascii="宋体" w:hAnsi="宋体"/>
                <w:bCs/>
                <w:szCs w:val="21"/>
              </w:rPr>
              <w:t>签署或</w:t>
            </w:r>
            <w:r>
              <w:rPr>
                <w:rFonts w:ascii="宋体" w:hAnsi="宋体"/>
                <w:bCs/>
                <w:szCs w:val="21"/>
              </w:rPr>
              <w:t>盖章</w:t>
            </w:r>
          </w:p>
        </w:tc>
        <w:tc>
          <w:tcPr>
            <w:tcW w:w="2990" w:type="pct"/>
            <w:vAlign w:val="center"/>
          </w:tcPr>
          <w:p>
            <w:pPr>
              <w:snapToGrid w:val="0"/>
              <w:spacing w:beforeLines="50" w:afterLines="50" w:line="240" w:lineRule="auto"/>
              <w:rPr>
                <w:rFonts w:ascii="宋体" w:hAnsi="宋体"/>
                <w:bCs/>
                <w:szCs w:val="21"/>
              </w:rPr>
            </w:pPr>
            <w:r>
              <w:rPr>
                <w:rFonts w:hint="eastAsia" w:ascii="宋体" w:hAnsi="宋体"/>
                <w:bCs/>
                <w:szCs w:val="21"/>
              </w:rPr>
              <w:t>响应文件按照磋商文件要求签署或盖章。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456" w:type="pct"/>
            <w:vAlign w:val="center"/>
          </w:tcPr>
          <w:p>
            <w:pPr>
              <w:pStyle w:val="129"/>
              <w:numPr>
                <w:ilvl w:val="0"/>
                <w:numId w:val="16"/>
              </w:numPr>
              <w:spacing w:line="240" w:lineRule="auto"/>
              <w:ind w:left="0" w:firstLine="0"/>
              <w:jc w:val="center"/>
              <w:rPr>
                <w:rFonts w:ascii="宋体" w:hAnsi="宋体"/>
              </w:rPr>
            </w:pPr>
          </w:p>
        </w:tc>
        <w:tc>
          <w:tcPr>
            <w:tcW w:w="1553" w:type="pct"/>
            <w:vAlign w:val="center"/>
          </w:tcPr>
          <w:p>
            <w:pPr>
              <w:snapToGrid w:val="0"/>
              <w:spacing w:beforeLines="50" w:afterLines="50" w:line="240" w:lineRule="auto"/>
              <w:jc w:val="center"/>
              <w:rPr>
                <w:rFonts w:ascii="宋体" w:hAnsi="宋体"/>
                <w:bCs/>
                <w:szCs w:val="21"/>
              </w:rPr>
            </w:pPr>
            <w:r>
              <w:rPr>
                <w:rFonts w:hint="eastAsia" w:ascii="宋体" w:hAnsi="宋体"/>
                <w:bCs/>
                <w:szCs w:val="21"/>
              </w:rPr>
              <w:t>法律、法规和规章及磋商文件规定的其他无效情形</w:t>
            </w:r>
          </w:p>
        </w:tc>
        <w:tc>
          <w:tcPr>
            <w:tcW w:w="2990" w:type="pct"/>
            <w:vAlign w:val="center"/>
          </w:tcPr>
          <w:p>
            <w:pPr>
              <w:snapToGrid w:val="0"/>
              <w:spacing w:beforeLines="50" w:afterLines="50" w:line="240" w:lineRule="auto"/>
              <w:rPr>
                <w:rFonts w:ascii="宋体" w:hAnsi="宋体"/>
                <w:bCs/>
                <w:szCs w:val="21"/>
              </w:rPr>
            </w:pPr>
            <w:r>
              <w:rPr>
                <w:rFonts w:hint="eastAsia" w:ascii="宋体" w:hAnsi="宋体"/>
                <w:bCs/>
                <w:szCs w:val="21"/>
              </w:rPr>
              <w:t>响应文件中不存在有关法律、法规和规章及磋商文件规定的其他无效情形。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vAlign w:val="center"/>
          </w:tcPr>
          <w:p>
            <w:pPr>
              <w:snapToGrid w:val="0"/>
              <w:spacing w:beforeLines="50" w:afterLines="50" w:line="240" w:lineRule="auto"/>
              <w:jc w:val="center"/>
              <w:rPr>
                <w:rFonts w:ascii="宋体" w:hAnsi="宋体"/>
                <w:b/>
                <w:szCs w:val="21"/>
              </w:rPr>
            </w:pPr>
            <w:r>
              <w:rPr>
                <w:rFonts w:hint="eastAsia" w:ascii="宋体" w:hAnsi="宋体"/>
                <w:b/>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vAlign w:val="center"/>
          </w:tcPr>
          <w:p>
            <w:pPr>
              <w:spacing w:beforeLines="50" w:afterLines="50" w:line="240" w:lineRule="auto"/>
              <w:jc w:val="left"/>
              <w:rPr>
                <w:rFonts w:ascii="宋体" w:hAnsi="宋体"/>
                <w:bCs/>
                <w:szCs w:val="21"/>
              </w:rPr>
            </w:pPr>
            <w:r>
              <w:rPr>
                <w:rFonts w:hint="eastAsia" w:ascii="宋体" w:hAnsi="宋体"/>
                <w:bCs/>
                <w:szCs w:val="21"/>
              </w:rPr>
              <w:t>填表说明：</w:t>
            </w:r>
          </w:p>
          <w:p>
            <w:pPr>
              <w:spacing w:beforeLines="50" w:afterLines="50" w:line="240" w:lineRule="auto"/>
              <w:jc w:val="left"/>
              <w:rPr>
                <w:rFonts w:ascii="宋体" w:hAnsi="宋体"/>
                <w:bCs/>
                <w:szCs w:val="21"/>
              </w:rPr>
            </w:pPr>
            <w:r>
              <w:rPr>
                <w:rFonts w:hint="eastAsia" w:ascii="宋体" w:hAnsi="宋体"/>
                <w:bCs/>
                <w:szCs w:val="21"/>
              </w:rPr>
              <w:t>1.“通过”打“√”，“未通过”打“×”；</w:t>
            </w:r>
          </w:p>
          <w:p>
            <w:pPr>
              <w:spacing w:beforeLines="50" w:afterLines="50" w:line="240" w:lineRule="auto"/>
              <w:jc w:val="left"/>
              <w:rPr>
                <w:rFonts w:ascii="宋体" w:hAnsi="宋体"/>
                <w:bCs/>
                <w:szCs w:val="21"/>
              </w:rPr>
            </w:pPr>
            <w:r>
              <w:rPr>
                <w:rFonts w:hint="eastAsia" w:ascii="宋体" w:hAnsi="宋体"/>
                <w:bCs/>
                <w:szCs w:val="21"/>
              </w:rPr>
              <w:t>2.在结论栏中填写“通过”或“未通过”；</w:t>
            </w:r>
          </w:p>
          <w:p>
            <w:pPr>
              <w:spacing w:beforeLines="50" w:afterLines="50" w:line="240" w:lineRule="auto"/>
              <w:jc w:val="left"/>
              <w:rPr>
                <w:rFonts w:ascii="宋体" w:hAnsi="宋体"/>
                <w:b/>
                <w:szCs w:val="21"/>
              </w:rPr>
            </w:pPr>
            <w:r>
              <w:rPr>
                <w:rFonts w:hint="eastAsia" w:ascii="宋体" w:hAnsi="宋体"/>
                <w:bCs/>
                <w:szCs w:val="21"/>
              </w:rPr>
              <w:t>3.投标人有一个“未通过”，审查结论视为“未通过”。</w:t>
            </w:r>
          </w:p>
        </w:tc>
      </w:tr>
    </w:tbl>
    <w:p>
      <w:pPr>
        <w:pStyle w:val="129"/>
        <w:numPr>
          <w:ilvl w:val="0"/>
          <w:numId w:val="14"/>
        </w:numPr>
        <w:jc w:val="left"/>
        <w:outlineLvl w:val="2"/>
        <w:rPr>
          <w:rFonts w:ascii="宋体" w:hAnsi="宋体"/>
          <w:b/>
          <w:szCs w:val="21"/>
        </w:rPr>
      </w:pPr>
      <w:bookmarkStart w:id="59" w:name="_Toc67046846"/>
      <w:bookmarkStart w:id="60" w:name="_Toc76397748"/>
      <w:bookmarkStart w:id="61" w:name="_Toc68789512"/>
      <w:bookmarkStart w:id="62" w:name="_Toc70528437"/>
      <w:bookmarkStart w:id="63" w:name="_Toc496088680"/>
      <w:bookmarkStart w:id="64" w:name="_Toc276645572"/>
      <w:bookmarkStart w:id="65" w:name="_Hlk45712320"/>
      <w:bookmarkStart w:id="66" w:name="_Toc462677180"/>
      <w:r>
        <w:rPr>
          <w:rFonts w:hint="eastAsia" w:ascii="宋体" w:hAnsi="宋体"/>
          <w:b/>
          <w:szCs w:val="21"/>
        </w:rPr>
        <w:t>响应文件澄清</w:t>
      </w:r>
    </w:p>
    <w:p>
      <w:pPr>
        <w:pStyle w:val="21"/>
        <w:ind w:firstLine="386" w:firstLineChars="200"/>
        <w:rPr>
          <w:rFonts w:ascii="宋体" w:hAnsi="宋体"/>
          <w:szCs w:val="20"/>
        </w:rPr>
      </w:pPr>
      <w:r>
        <w:rPr>
          <w:rFonts w:hint="eastAsia" w:ascii="宋体" w:hAnsi="宋体"/>
          <w:szCs w:val="20"/>
        </w:rPr>
        <w:t>2</w:t>
      </w:r>
      <w:r>
        <w:rPr>
          <w:rFonts w:ascii="宋体" w:hAnsi="宋体"/>
          <w:szCs w:val="20"/>
        </w:rPr>
        <w:t>.1</w:t>
      </w:r>
      <w:r>
        <w:rPr>
          <w:rFonts w:hint="eastAsia" w:ascii="宋体" w:hAnsi="宋体"/>
          <w:szCs w:val="20"/>
        </w:rPr>
        <w:t>对于响应文件中含义不明确、同类问题表述不一致或者有明显文字和计算错误的内容，磋商小组可在评审过程中发起澄清，要求供应商针对价格或内容做出必要的澄清、说明或补正。代理机构可根据开启环节记录的授权代表人联系方式发送短信提醒或电话告知，供应商需保持电话畅通。</w:t>
      </w:r>
    </w:p>
    <w:p>
      <w:pPr>
        <w:pStyle w:val="21"/>
        <w:ind w:firstLine="386" w:firstLineChars="200"/>
        <w:rPr>
          <w:rFonts w:ascii="宋体" w:hAnsi="宋体"/>
          <w:szCs w:val="20"/>
        </w:rPr>
      </w:pPr>
      <w:r>
        <w:rPr>
          <w:rFonts w:hint="eastAsia" w:ascii="宋体" w:hAnsi="宋体"/>
          <w:szCs w:val="20"/>
        </w:rPr>
        <w:t>供应商需在规定时间内完成澄清（响应），并加盖供应商公章，或法定代表人签字或盖章，或法定代表人授权委托人签字或盖章。</w:t>
      </w:r>
    </w:p>
    <w:p>
      <w:pPr>
        <w:pStyle w:val="21"/>
        <w:ind w:firstLine="386" w:firstLineChars="200"/>
        <w:rPr>
          <w:rFonts w:ascii="宋体" w:hAnsi="宋体"/>
          <w:szCs w:val="20"/>
        </w:rPr>
      </w:pPr>
      <w:r>
        <w:rPr>
          <w:rFonts w:hint="eastAsia" w:ascii="宋体" w:hAnsi="宋体"/>
          <w:szCs w:val="20"/>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21"/>
        <w:ind w:firstLine="386" w:firstLineChars="200"/>
        <w:rPr>
          <w:rFonts w:ascii="宋体" w:hAnsi="宋体"/>
          <w:szCs w:val="20"/>
        </w:rPr>
      </w:pPr>
      <w:r>
        <w:rPr>
          <w:rFonts w:hint="eastAsia" w:ascii="宋体" w:hAnsi="宋体"/>
          <w:szCs w:val="20"/>
        </w:rPr>
        <w:t>2</w:t>
      </w:r>
      <w:r>
        <w:rPr>
          <w:rFonts w:ascii="宋体" w:hAnsi="宋体"/>
          <w:szCs w:val="20"/>
        </w:rPr>
        <w:t>.2</w:t>
      </w:r>
      <w:r>
        <w:rPr>
          <w:rFonts w:hint="eastAsia" w:ascii="宋体" w:hAnsi="宋体"/>
          <w:szCs w:val="20"/>
        </w:rPr>
        <w:t>磋商小组不接受供应商主动提出的澄清、说明或补正。</w:t>
      </w:r>
    </w:p>
    <w:p>
      <w:pPr>
        <w:pStyle w:val="21"/>
        <w:ind w:firstLine="386" w:firstLineChars="200"/>
        <w:rPr>
          <w:rFonts w:ascii="宋体" w:hAnsi="宋体"/>
          <w:szCs w:val="20"/>
        </w:rPr>
      </w:pPr>
      <w:r>
        <w:rPr>
          <w:rFonts w:ascii="宋体" w:hAnsi="宋体"/>
          <w:szCs w:val="20"/>
        </w:rPr>
        <w:t>2.3</w:t>
      </w:r>
      <w:r>
        <w:rPr>
          <w:rFonts w:hint="eastAsia" w:ascii="宋体" w:hAnsi="宋体"/>
          <w:szCs w:val="20"/>
        </w:rPr>
        <w:t>磋商小组对供应商提交的澄清、说明或补正有疑问的，可以要求供应商进一步澄清、说明或补正。</w:t>
      </w:r>
    </w:p>
    <w:p>
      <w:pPr>
        <w:pStyle w:val="129"/>
        <w:numPr>
          <w:ilvl w:val="0"/>
          <w:numId w:val="14"/>
        </w:numPr>
        <w:jc w:val="left"/>
        <w:outlineLvl w:val="2"/>
        <w:rPr>
          <w:rFonts w:ascii="宋体" w:hAnsi="宋体"/>
          <w:b/>
          <w:szCs w:val="21"/>
        </w:rPr>
      </w:pPr>
      <w:r>
        <w:rPr>
          <w:rFonts w:hint="eastAsia" w:ascii="宋体" w:hAnsi="宋体"/>
          <w:b/>
          <w:szCs w:val="21"/>
        </w:rPr>
        <w:t>磋商</w:t>
      </w:r>
    </w:p>
    <w:p>
      <w:pPr>
        <w:pStyle w:val="21"/>
        <w:ind w:firstLine="386" w:firstLineChars="200"/>
        <w:rPr>
          <w:rFonts w:ascii="宋体" w:hAnsi="宋体"/>
          <w:szCs w:val="20"/>
        </w:rPr>
      </w:pPr>
      <w:r>
        <w:rPr>
          <w:rFonts w:hint="eastAsia" w:ascii="宋体" w:hAnsi="宋体"/>
          <w:szCs w:val="20"/>
        </w:rPr>
        <w:t>3</w:t>
      </w:r>
      <w:r>
        <w:rPr>
          <w:rFonts w:ascii="宋体" w:hAnsi="宋体"/>
          <w:szCs w:val="20"/>
        </w:rPr>
        <w:t>.1</w:t>
      </w:r>
      <w:r>
        <w:rPr>
          <w:rFonts w:hint="eastAsia" w:ascii="宋体" w:hAnsi="宋体"/>
          <w:szCs w:val="20"/>
        </w:rPr>
        <w:t>磋商小组所有成员应当集中与单一供应商分别进行磋商，并给予所有参加磋商的供应商平等的磋商机会。</w:t>
      </w:r>
    </w:p>
    <w:p>
      <w:pPr>
        <w:pStyle w:val="21"/>
        <w:ind w:firstLine="386" w:firstLineChars="200"/>
        <w:rPr>
          <w:rFonts w:ascii="宋体" w:hAnsi="宋体"/>
          <w:szCs w:val="20"/>
        </w:rPr>
      </w:pPr>
      <w:r>
        <w:rPr>
          <w:rFonts w:ascii="宋体" w:hAnsi="宋体"/>
          <w:szCs w:val="20"/>
        </w:rPr>
        <w:t>3.2</w:t>
      </w:r>
      <w:r>
        <w:rPr>
          <w:rFonts w:hint="eastAsia" w:ascii="宋体" w:hAnsi="宋体"/>
          <w:szCs w:val="20"/>
        </w:rPr>
        <w:t>在磋商过程中，磋商小组可以根据磋商文件和磋商情况实质性变动采购需求中的技术、服务要求以及合同草案条款，但不得变动磋商文件中的其他内容。实质性变动的内容，须经采购人代表确认。</w:t>
      </w:r>
    </w:p>
    <w:p>
      <w:pPr>
        <w:pStyle w:val="21"/>
        <w:ind w:firstLine="386" w:firstLineChars="200"/>
        <w:rPr>
          <w:rFonts w:ascii="宋体" w:hAnsi="宋体"/>
          <w:szCs w:val="20"/>
        </w:rPr>
      </w:pPr>
      <w:r>
        <w:rPr>
          <w:rFonts w:hint="eastAsia" w:ascii="宋体" w:hAnsi="宋体"/>
          <w:szCs w:val="20"/>
        </w:rPr>
        <w:t>3</w:t>
      </w:r>
      <w:r>
        <w:rPr>
          <w:rFonts w:ascii="宋体" w:hAnsi="宋体"/>
          <w:szCs w:val="20"/>
        </w:rPr>
        <w:t>.3</w:t>
      </w:r>
      <w:r>
        <w:rPr>
          <w:rFonts w:hint="eastAsia" w:ascii="宋体" w:hAnsi="宋体"/>
          <w:szCs w:val="20"/>
        </w:rPr>
        <w:t>对磋商文件作出的实质性变动是磋商文件的有效组成部分，磋商小组应当及时、同时通知所有参加磋商的供应商。</w:t>
      </w:r>
    </w:p>
    <w:p>
      <w:pPr>
        <w:pStyle w:val="21"/>
        <w:ind w:firstLine="386" w:firstLineChars="200"/>
        <w:rPr>
          <w:rFonts w:ascii="宋体" w:hAnsi="宋体"/>
          <w:szCs w:val="20"/>
        </w:rPr>
      </w:pPr>
      <w:r>
        <w:rPr>
          <w:rFonts w:ascii="宋体" w:hAnsi="宋体"/>
          <w:szCs w:val="20"/>
        </w:rPr>
        <w:t>3.4</w:t>
      </w:r>
      <w:r>
        <w:rPr>
          <w:rFonts w:hint="eastAsia" w:ascii="宋体" w:hAnsi="宋体"/>
          <w:szCs w:val="20"/>
        </w:rPr>
        <w:t>供应商应当按照磋商文件的变动情况和磋商小组的要求进行最终报价或重新提交响应文件，并由其法定代表人或授权代表签字(或盖私章)或者加盖公章。供应商为自然人的，应当由本人签字并附身份证明。</w:t>
      </w:r>
    </w:p>
    <w:p>
      <w:pPr>
        <w:pStyle w:val="129"/>
        <w:numPr>
          <w:ilvl w:val="0"/>
          <w:numId w:val="14"/>
        </w:numPr>
        <w:jc w:val="left"/>
        <w:outlineLvl w:val="2"/>
        <w:rPr>
          <w:rFonts w:ascii="宋体" w:hAnsi="宋体"/>
          <w:b/>
          <w:szCs w:val="21"/>
        </w:rPr>
      </w:pPr>
      <w:r>
        <w:rPr>
          <w:rFonts w:hint="eastAsia" w:ascii="宋体" w:hAnsi="宋体"/>
          <w:b/>
          <w:szCs w:val="21"/>
        </w:rPr>
        <w:t>最后报价</w:t>
      </w:r>
    </w:p>
    <w:p>
      <w:pPr>
        <w:pStyle w:val="21"/>
        <w:ind w:firstLine="386" w:firstLineChars="200"/>
        <w:rPr>
          <w:rFonts w:ascii="宋体" w:hAnsi="宋体"/>
          <w:szCs w:val="20"/>
        </w:rPr>
      </w:pPr>
      <w:r>
        <w:rPr>
          <w:rFonts w:hint="eastAsia" w:ascii="宋体" w:hAnsi="宋体"/>
          <w:szCs w:val="20"/>
        </w:rPr>
        <w:t>4</w:t>
      </w:r>
      <w:r>
        <w:rPr>
          <w:rFonts w:ascii="宋体" w:hAnsi="宋体"/>
          <w:szCs w:val="20"/>
        </w:rPr>
        <w:t>.1</w:t>
      </w:r>
      <w:r>
        <w:rPr>
          <w:rFonts w:hint="eastAsia" w:ascii="宋体" w:hAnsi="宋体"/>
          <w:szCs w:val="20"/>
        </w:rPr>
        <w:t>磋商结束后，磋商小组应当要求所有实质性响应的供应商在规定时间内提交最后报价。最后报价是供应商响应文件的有效组成部分。</w:t>
      </w:r>
    </w:p>
    <w:p>
      <w:pPr>
        <w:pStyle w:val="21"/>
        <w:ind w:firstLine="386" w:firstLineChars="200"/>
        <w:rPr>
          <w:rFonts w:ascii="宋体" w:hAnsi="宋体"/>
          <w:szCs w:val="20"/>
        </w:rPr>
      </w:pPr>
      <w:r>
        <w:rPr>
          <w:rFonts w:hint="eastAsia" w:ascii="宋体" w:hAnsi="宋体"/>
          <w:szCs w:val="20"/>
        </w:rPr>
        <w:t>4</w:t>
      </w:r>
      <w:r>
        <w:rPr>
          <w:rFonts w:ascii="宋体" w:hAnsi="宋体"/>
          <w:szCs w:val="20"/>
        </w:rPr>
        <w:t>.2</w:t>
      </w:r>
      <w:r>
        <w:rPr>
          <w:rFonts w:hint="eastAsia" w:ascii="宋体" w:hAnsi="宋体"/>
          <w:szCs w:val="20"/>
        </w:rPr>
        <w:t>已提交响应文件的供应商，在提交最后报价之前，可以根据磋商情况退出磋商。</w:t>
      </w:r>
    </w:p>
    <w:p>
      <w:pPr>
        <w:pStyle w:val="21"/>
        <w:ind w:firstLine="386" w:firstLineChars="200"/>
        <w:rPr>
          <w:rFonts w:ascii="宋体" w:hAnsi="宋体"/>
          <w:szCs w:val="20"/>
        </w:rPr>
      </w:pPr>
      <w:r>
        <w:rPr>
          <w:rFonts w:ascii="宋体" w:hAnsi="宋体"/>
          <w:szCs w:val="20"/>
        </w:rPr>
        <w:t>4.3</w:t>
      </w:r>
      <w:r>
        <w:rPr>
          <w:rFonts w:hint="eastAsia" w:ascii="宋体" w:hAnsi="宋体"/>
          <w:szCs w:val="20"/>
        </w:rPr>
        <w:t>除法规规定的特殊性情形外，提交最后报价的供应商不得少于3家。</w:t>
      </w:r>
    </w:p>
    <w:p>
      <w:pPr>
        <w:pStyle w:val="129"/>
        <w:numPr>
          <w:ilvl w:val="0"/>
          <w:numId w:val="14"/>
        </w:numPr>
        <w:jc w:val="left"/>
        <w:outlineLvl w:val="2"/>
        <w:rPr>
          <w:rFonts w:ascii="宋体" w:hAnsi="宋体"/>
          <w:b/>
          <w:szCs w:val="21"/>
        </w:rPr>
      </w:pPr>
      <w:r>
        <w:rPr>
          <w:rFonts w:hint="eastAsia" w:ascii="宋体" w:hAnsi="宋体"/>
          <w:b/>
          <w:szCs w:val="21"/>
        </w:rPr>
        <w:t>详细评审</w:t>
      </w:r>
    </w:p>
    <w:bookmarkEnd w:id="59"/>
    <w:bookmarkEnd w:id="60"/>
    <w:bookmarkEnd w:id="61"/>
    <w:bookmarkEnd w:id="62"/>
    <w:bookmarkEnd w:id="63"/>
    <w:p>
      <w:pPr>
        <w:ind w:firstLine="386" w:firstLineChars="200"/>
        <w:jc w:val="left"/>
        <w:outlineLvl w:val="3"/>
        <w:rPr>
          <w:rFonts w:ascii="宋体" w:hAnsi="宋体" w:cs="Futura-Heavy"/>
          <w:b/>
          <w:bCs/>
          <w:kern w:val="0"/>
          <w:szCs w:val="21"/>
        </w:rPr>
      </w:pPr>
      <w:bookmarkStart w:id="67" w:name="_Toc67046848"/>
      <w:bookmarkStart w:id="68" w:name="_Toc6322232"/>
      <w:r>
        <w:rPr>
          <w:rFonts w:hint="eastAsia" w:ascii="宋体" w:hAnsi="宋体" w:cs="Futura-Heavy"/>
          <w:b/>
          <w:bCs/>
          <w:kern w:val="0"/>
          <w:szCs w:val="21"/>
        </w:rPr>
        <w:t>表三：技术、商务评分细则表（70分）</w:t>
      </w:r>
      <w:bookmarkEnd w:id="67"/>
      <w:bookmarkEnd w:id="68"/>
    </w:p>
    <w:tbl>
      <w:tblPr>
        <w:tblStyle w:val="4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660"/>
        <w:gridCol w:w="5732"/>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439" w:type="pct"/>
            <w:vAlign w:val="center"/>
          </w:tcPr>
          <w:p>
            <w:pPr>
              <w:spacing w:beforeLines="50" w:afterLines="50" w:line="240" w:lineRule="auto"/>
              <w:jc w:val="center"/>
              <w:rPr>
                <w:rFonts w:ascii="宋体" w:hAnsi="宋体" w:cs="宋体"/>
                <w:b/>
                <w:szCs w:val="21"/>
              </w:rPr>
            </w:pPr>
            <w:bookmarkStart w:id="69" w:name="_Hlk43300484"/>
            <w:r>
              <w:rPr>
                <w:rFonts w:hint="eastAsia" w:ascii="宋体" w:hAnsi="宋体" w:cs="宋体"/>
                <w:b/>
                <w:szCs w:val="21"/>
              </w:rPr>
              <w:t>序号</w:t>
            </w:r>
          </w:p>
        </w:tc>
        <w:tc>
          <w:tcPr>
            <w:tcW w:w="918" w:type="pct"/>
            <w:vAlign w:val="center"/>
          </w:tcPr>
          <w:p>
            <w:pPr>
              <w:spacing w:beforeLines="50" w:afterLines="50" w:line="240" w:lineRule="auto"/>
              <w:jc w:val="center"/>
              <w:rPr>
                <w:rFonts w:ascii="宋体" w:hAnsi="宋体" w:cs="宋体"/>
                <w:b/>
                <w:szCs w:val="21"/>
              </w:rPr>
            </w:pPr>
            <w:r>
              <w:rPr>
                <w:rFonts w:hint="eastAsia" w:ascii="宋体" w:hAnsi="宋体" w:cs="宋体"/>
                <w:b/>
                <w:szCs w:val="21"/>
              </w:rPr>
              <w:t>评审因素</w:t>
            </w:r>
          </w:p>
        </w:tc>
        <w:tc>
          <w:tcPr>
            <w:tcW w:w="3170" w:type="pct"/>
            <w:vAlign w:val="center"/>
          </w:tcPr>
          <w:p>
            <w:pPr>
              <w:spacing w:beforeLines="50" w:afterLines="50" w:line="240" w:lineRule="auto"/>
              <w:jc w:val="center"/>
              <w:rPr>
                <w:rFonts w:ascii="宋体" w:hAnsi="宋体" w:cs="宋体"/>
                <w:b/>
                <w:szCs w:val="21"/>
              </w:rPr>
            </w:pPr>
            <w:r>
              <w:rPr>
                <w:rFonts w:hint="eastAsia" w:ascii="宋体" w:hAnsi="宋体" w:cs="宋体"/>
                <w:b/>
                <w:szCs w:val="21"/>
              </w:rPr>
              <w:t>评审标准</w:t>
            </w:r>
          </w:p>
        </w:tc>
        <w:tc>
          <w:tcPr>
            <w:tcW w:w="471" w:type="pct"/>
            <w:vAlign w:val="center"/>
          </w:tcPr>
          <w:p>
            <w:pPr>
              <w:spacing w:beforeLines="50" w:afterLines="50" w:line="240" w:lineRule="auto"/>
              <w:jc w:val="center"/>
              <w:rPr>
                <w:rFonts w:ascii="宋体" w:hAnsi="宋体" w:cs="宋体"/>
                <w:b/>
                <w:szCs w:val="21"/>
              </w:rPr>
            </w:pPr>
            <w:r>
              <w:rPr>
                <w:rFonts w:hint="eastAsia" w:ascii="宋体" w:hAnsi="宋体" w:cs="宋体"/>
                <w:b/>
                <w:szCs w:val="21"/>
              </w:rPr>
              <w:t>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39" w:type="pct"/>
            <w:vAlign w:val="center"/>
          </w:tcPr>
          <w:p>
            <w:pPr>
              <w:spacing w:beforeLines="50" w:afterLines="50" w:line="240" w:lineRule="auto"/>
              <w:jc w:val="center"/>
              <w:rPr>
                <w:rFonts w:ascii="宋体" w:hAnsi="宋体" w:cs="宋体"/>
                <w:szCs w:val="21"/>
              </w:rPr>
            </w:pPr>
            <w:r>
              <w:rPr>
                <w:rFonts w:hint="eastAsia" w:ascii="宋体" w:hAnsi="宋体" w:cs="宋体"/>
                <w:szCs w:val="21"/>
              </w:rPr>
              <w:t>1</w:t>
            </w:r>
          </w:p>
        </w:tc>
        <w:tc>
          <w:tcPr>
            <w:tcW w:w="918" w:type="pct"/>
            <w:vAlign w:val="center"/>
          </w:tcPr>
          <w:p>
            <w:pPr>
              <w:spacing w:beforeLines="50" w:afterLines="50" w:line="240" w:lineRule="auto"/>
              <w:jc w:val="center"/>
              <w:rPr>
                <w:rFonts w:ascii="宋体" w:hAnsi="宋体" w:cs="宋体"/>
                <w:szCs w:val="21"/>
              </w:rPr>
            </w:pPr>
            <w:r>
              <w:rPr>
                <w:rFonts w:hint="eastAsia" w:ascii="宋体" w:hAnsi="宋体"/>
                <w:szCs w:val="21"/>
              </w:rPr>
              <w:t>施工进度计划和各阶段进度的保证措施及违约责任承诺</w:t>
            </w:r>
          </w:p>
        </w:tc>
        <w:tc>
          <w:tcPr>
            <w:tcW w:w="3170" w:type="pct"/>
            <w:vAlign w:val="center"/>
          </w:tcPr>
          <w:p>
            <w:pPr>
              <w:pStyle w:val="2"/>
              <w:rPr>
                <w:rFonts w:ascii="宋体" w:hAnsi="宋体" w:eastAsia="宋体" w:cs="Times New Roman"/>
              </w:rPr>
            </w:pPr>
            <w:r>
              <w:rPr>
                <w:rFonts w:hint="eastAsia" w:ascii="宋体" w:hAnsi="宋体" w:eastAsia="宋体" w:cs="Times New Roman"/>
              </w:rPr>
              <w:t>1、关键线路清晰、准确、完整，计划编制合理、可行，进度违约责任承诺具体，经济赔偿最大的，得9分；</w:t>
            </w:r>
          </w:p>
          <w:p>
            <w:pPr>
              <w:pStyle w:val="2"/>
              <w:rPr>
                <w:rFonts w:ascii="宋体" w:hAnsi="宋体" w:eastAsia="宋体" w:cs="Times New Roman"/>
              </w:rPr>
            </w:pPr>
            <w:r>
              <w:rPr>
                <w:rFonts w:hint="eastAsia" w:ascii="宋体" w:hAnsi="宋体" w:eastAsia="宋体" w:cs="Times New Roman"/>
              </w:rPr>
              <w:t>2、关键线路清晰、准确，计划编制可行，关键节点的控制措施较合理、可行，进度违约责任承诺具体，经济赔偿次大的，得6分；</w:t>
            </w:r>
          </w:p>
          <w:p>
            <w:pPr>
              <w:pStyle w:val="2"/>
              <w:rPr>
                <w:rFonts w:ascii="宋体" w:hAnsi="宋体" w:eastAsia="宋体" w:cs="Times New Roman"/>
              </w:rPr>
            </w:pPr>
            <w:r>
              <w:rPr>
                <w:rFonts w:hint="eastAsia" w:ascii="宋体" w:hAnsi="宋体" w:eastAsia="宋体" w:cs="Times New Roman"/>
              </w:rPr>
              <w:t>3、关键线路基本准确，计划编制基本合理，关键节点的控制措施基本可行，进度违约责任承诺不具体的，得3分；</w:t>
            </w:r>
          </w:p>
          <w:p>
            <w:pPr>
              <w:pStyle w:val="2"/>
            </w:pPr>
            <w:r>
              <w:rPr>
                <w:rFonts w:hint="eastAsia" w:ascii="宋体" w:hAnsi="宋体" w:eastAsia="宋体" w:cs="Times New Roman"/>
              </w:rPr>
              <w:t>4、关键线路不准确，计划编制不合理，关键节点的控制不可行，没有违约责任承诺的，得0分。</w:t>
            </w:r>
          </w:p>
        </w:tc>
        <w:tc>
          <w:tcPr>
            <w:tcW w:w="471" w:type="pct"/>
            <w:vAlign w:val="center"/>
          </w:tcPr>
          <w:p>
            <w:pPr>
              <w:spacing w:beforeLines="50" w:afterLines="50" w:line="240" w:lineRule="auto"/>
              <w:jc w:val="center"/>
              <w:rPr>
                <w:rFonts w:ascii="宋体" w:hAnsi="宋体" w:cs="宋体"/>
                <w:szCs w:val="21"/>
              </w:rPr>
            </w:pPr>
            <w:r>
              <w:rPr>
                <w:rFonts w:hint="eastAsia" w:ascii="宋体" w:hAnsi="宋体" w:cs="宋体"/>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39" w:type="pct"/>
            <w:vAlign w:val="center"/>
          </w:tcPr>
          <w:p>
            <w:pPr>
              <w:spacing w:beforeLines="50" w:afterLines="50" w:line="240" w:lineRule="auto"/>
              <w:jc w:val="center"/>
              <w:rPr>
                <w:rFonts w:ascii="宋体" w:hAnsi="宋体" w:cs="宋体"/>
                <w:szCs w:val="21"/>
              </w:rPr>
            </w:pPr>
            <w:r>
              <w:rPr>
                <w:rFonts w:hint="eastAsia" w:ascii="宋体" w:hAnsi="宋体" w:cs="宋体"/>
                <w:szCs w:val="21"/>
              </w:rPr>
              <w:t>2</w:t>
            </w:r>
          </w:p>
        </w:tc>
        <w:tc>
          <w:tcPr>
            <w:tcW w:w="918" w:type="pct"/>
            <w:vAlign w:val="center"/>
          </w:tcPr>
          <w:p>
            <w:pPr>
              <w:spacing w:beforeLines="50" w:afterLines="50" w:line="240" w:lineRule="auto"/>
              <w:jc w:val="center"/>
              <w:rPr>
                <w:rFonts w:ascii="宋体" w:hAnsi="宋体" w:cs="宋体"/>
                <w:szCs w:val="21"/>
              </w:rPr>
            </w:pPr>
            <w:r>
              <w:rPr>
                <w:rFonts w:hint="eastAsia" w:ascii="宋体" w:hAnsi="宋体"/>
                <w:szCs w:val="21"/>
              </w:rPr>
              <w:t>施工平面布置和临时设备布置</w:t>
            </w:r>
          </w:p>
        </w:tc>
        <w:tc>
          <w:tcPr>
            <w:tcW w:w="3170" w:type="pct"/>
            <w:vAlign w:val="center"/>
          </w:tcPr>
          <w:p>
            <w:pPr>
              <w:rPr>
                <w:rFonts w:ascii="宋体" w:hAnsi="宋体"/>
                <w:szCs w:val="21"/>
              </w:rPr>
            </w:pPr>
            <w:r>
              <w:rPr>
                <w:rFonts w:hint="eastAsia" w:ascii="宋体" w:hAnsi="宋体"/>
                <w:szCs w:val="21"/>
              </w:rPr>
              <w:t>1、总体布置有针对性、合理，满足施工需要，符合安全、文明生产要求，得9分；</w:t>
            </w:r>
          </w:p>
          <w:p>
            <w:pPr>
              <w:rPr>
                <w:rFonts w:ascii="宋体" w:hAnsi="宋体"/>
                <w:szCs w:val="21"/>
              </w:rPr>
            </w:pPr>
            <w:r>
              <w:rPr>
                <w:rFonts w:hint="eastAsia" w:ascii="宋体" w:hAnsi="宋体"/>
                <w:szCs w:val="21"/>
              </w:rPr>
              <w:t>2、总体布置基本合理，基本满足施工需要，得6分；</w:t>
            </w:r>
          </w:p>
          <w:p>
            <w:pPr>
              <w:rPr>
                <w:rFonts w:ascii="宋体" w:hAnsi="宋体"/>
                <w:szCs w:val="21"/>
              </w:rPr>
            </w:pPr>
            <w:r>
              <w:rPr>
                <w:rFonts w:hint="eastAsia" w:ascii="宋体" w:hAnsi="宋体"/>
                <w:szCs w:val="21"/>
              </w:rPr>
              <w:t>3、总体布置较差，不能满足施工需要，得3分；</w:t>
            </w:r>
          </w:p>
          <w:p>
            <w:pPr>
              <w:rPr>
                <w:rFonts w:ascii="宋体" w:hAnsi="宋体" w:cs="宋体"/>
                <w:b/>
                <w:bCs/>
                <w:szCs w:val="21"/>
              </w:rPr>
            </w:pPr>
            <w:r>
              <w:rPr>
                <w:rFonts w:hint="eastAsia" w:ascii="宋体" w:hAnsi="宋体"/>
                <w:szCs w:val="21"/>
              </w:rPr>
              <w:t>4、无施工平面布置和临时设备布置，得0分。</w:t>
            </w:r>
          </w:p>
        </w:tc>
        <w:tc>
          <w:tcPr>
            <w:tcW w:w="471" w:type="pct"/>
            <w:vAlign w:val="center"/>
          </w:tcPr>
          <w:p>
            <w:pPr>
              <w:spacing w:beforeLines="50" w:afterLines="50" w:line="240" w:lineRule="auto"/>
              <w:jc w:val="center"/>
              <w:rPr>
                <w:rFonts w:ascii="宋体" w:hAnsi="宋体" w:cs="宋体"/>
                <w:szCs w:val="21"/>
              </w:rPr>
            </w:pPr>
            <w:r>
              <w:rPr>
                <w:rFonts w:hint="eastAsia" w:ascii="宋体" w:hAnsi="宋体" w:cs="宋体"/>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39" w:type="pct"/>
            <w:vAlign w:val="center"/>
          </w:tcPr>
          <w:p>
            <w:pPr>
              <w:spacing w:beforeLines="50" w:afterLines="50" w:line="240" w:lineRule="auto"/>
              <w:jc w:val="center"/>
              <w:rPr>
                <w:rFonts w:ascii="宋体" w:hAnsi="宋体" w:cs="宋体"/>
                <w:szCs w:val="21"/>
              </w:rPr>
            </w:pPr>
            <w:r>
              <w:rPr>
                <w:rFonts w:hint="eastAsia" w:ascii="宋体" w:hAnsi="宋体" w:cs="宋体"/>
                <w:szCs w:val="21"/>
              </w:rPr>
              <w:t>3</w:t>
            </w:r>
          </w:p>
        </w:tc>
        <w:tc>
          <w:tcPr>
            <w:tcW w:w="918" w:type="pct"/>
            <w:vAlign w:val="center"/>
          </w:tcPr>
          <w:p>
            <w:pPr>
              <w:jc w:val="center"/>
              <w:rPr>
                <w:rFonts w:ascii="宋体" w:hAnsi="宋体" w:cs="宋体"/>
                <w:szCs w:val="21"/>
              </w:rPr>
            </w:pPr>
            <w:r>
              <w:rPr>
                <w:rFonts w:hint="eastAsia" w:ascii="宋体" w:hAnsi="宋体"/>
                <w:szCs w:val="21"/>
              </w:rPr>
              <w:t>关键施工技术、工艺及工程项目实施的重点、难点分析和解决方案</w:t>
            </w:r>
          </w:p>
        </w:tc>
        <w:tc>
          <w:tcPr>
            <w:tcW w:w="3170" w:type="pct"/>
            <w:vAlign w:val="center"/>
          </w:tcPr>
          <w:p>
            <w:pPr>
              <w:rPr>
                <w:rFonts w:ascii="宋体" w:hAnsi="宋体"/>
                <w:szCs w:val="21"/>
              </w:rPr>
            </w:pPr>
            <w:r>
              <w:rPr>
                <w:rFonts w:hint="eastAsia" w:ascii="宋体" w:hAnsi="宋体"/>
                <w:szCs w:val="21"/>
              </w:rPr>
              <w:t>1、对项目关键技术、工艺及城市管线的保护，周边构筑物的保护有深入的表述，对工程项目实施的重点、难点有合理的建议，解决方案完整切实可行，得9分；</w:t>
            </w:r>
          </w:p>
          <w:p>
            <w:pPr>
              <w:rPr>
                <w:rFonts w:ascii="宋体" w:hAnsi="宋体"/>
                <w:szCs w:val="21"/>
              </w:rPr>
            </w:pPr>
            <w:r>
              <w:rPr>
                <w:rFonts w:hint="eastAsia" w:ascii="宋体" w:hAnsi="宋体"/>
                <w:szCs w:val="21"/>
              </w:rPr>
              <w:t>2、对项目关键技术、工艺及城市管线的保护，周边构筑物的保护有一定了解，对工程项目实施的重点、难点有建议，解决方案基本可行，得6分；</w:t>
            </w:r>
          </w:p>
          <w:p>
            <w:pPr>
              <w:rPr>
                <w:rFonts w:ascii="宋体" w:hAnsi="宋体"/>
                <w:szCs w:val="21"/>
              </w:rPr>
            </w:pPr>
            <w:r>
              <w:rPr>
                <w:rFonts w:hint="eastAsia" w:ascii="宋体" w:hAnsi="宋体"/>
                <w:szCs w:val="21"/>
              </w:rPr>
              <w:t>3、对项目关键技术、工艺及城市管线的保护，周边构筑物的保护有表述，对工程项目实施的重点、难点有建议，解决方案难以实行，得3分；</w:t>
            </w:r>
          </w:p>
          <w:p>
            <w:pPr>
              <w:rPr>
                <w:rFonts w:ascii="宋体" w:hAnsi="宋体" w:cs="宋体"/>
                <w:b/>
                <w:bCs/>
                <w:szCs w:val="21"/>
              </w:rPr>
            </w:pPr>
            <w:r>
              <w:rPr>
                <w:rFonts w:hint="eastAsia" w:ascii="宋体" w:hAnsi="宋体"/>
                <w:szCs w:val="21"/>
              </w:rPr>
              <w:t>4、无项目关键施工技术、工艺及城市管线的保护，周边构筑物的保护的描述，得0分。</w:t>
            </w:r>
          </w:p>
        </w:tc>
        <w:tc>
          <w:tcPr>
            <w:tcW w:w="471" w:type="pct"/>
            <w:vAlign w:val="center"/>
          </w:tcPr>
          <w:p>
            <w:pPr>
              <w:spacing w:beforeLines="50" w:afterLines="50" w:line="240" w:lineRule="auto"/>
              <w:jc w:val="center"/>
              <w:rPr>
                <w:rFonts w:ascii="宋体" w:hAnsi="宋体" w:cs="宋体"/>
                <w:color w:val="FF0000"/>
                <w:szCs w:val="21"/>
              </w:rPr>
            </w:pPr>
            <w:r>
              <w:rPr>
                <w:rFonts w:hint="eastAsia" w:ascii="宋体" w:hAnsi="宋体" w:cs="宋体"/>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39" w:type="pct"/>
            <w:vAlign w:val="center"/>
          </w:tcPr>
          <w:p>
            <w:pPr>
              <w:spacing w:beforeLines="50" w:afterLines="50" w:line="240" w:lineRule="auto"/>
              <w:jc w:val="center"/>
              <w:rPr>
                <w:rFonts w:ascii="宋体" w:hAnsi="宋体" w:cs="宋体"/>
                <w:szCs w:val="21"/>
              </w:rPr>
            </w:pPr>
            <w:r>
              <w:rPr>
                <w:rFonts w:hint="eastAsia" w:ascii="宋体" w:hAnsi="宋体" w:cs="宋体"/>
                <w:szCs w:val="21"/>
              </w:rPr>
              <w:t>4</w:t>
            </w:r>
          </w:p>
        </w:tc>
        <w:tc>
          <w:tcPr>
            <w:tcW w:w="918" w:type="pct"/>
            <w:vAlign w:val="center"/>
          </w:tcPr>
          <w:p>
            <w:pPr>
              <w:jc w:val="center"/>
              <w:rPr>
                <w:rFonts w:ascii="宋体" w:hAnsi="宋体" w:cs="宋体"/>
                <w:szCs w:val="21"/>
              </w:rPr>
            </w:pPr>
            <w:r>
              <w:rPr>
                <w:rFonts w:hint="eastAsia" w:ascii="宋体" w:hAnsi="宋体"/>
                <w:szCs w:val="21"/>
              </w:rPr>
              <w:t>质量保证和质量违约责任承诺</w:t>
            </w:r>
          </w:p>
        </w:tc>
        <w:tc>
          <w:tcPr>
            <w:tcW w:w="3170" w:type="pct"/>
            <w:vAlign w:val="center"/>
          </w:tcPr>
          <w:p>
            <w:pPr>
              <w:rPr>
                <w:rFonts w:ascii="宋体" w:hAnsi="宋体"/>
                <w:szCs w:val="21"/>
              </w:rPr>
            </w:pPr>
            <w:r>
              <w:rPr>
                <w:rFonts w:hint="eastAsia" w:ascii="宋体" w:hAnsi="宋体"/>
                <w:szCs w:val="21"/>
              </w:rPr>
              <w:t>1、应用新技术、新工艺、新材料、新设备，针对项目实际提出先进、可行、具体的保证措施。超过招标文件的质量要求。质量违约责任承诺具体，经济赔偿最大，得9分；</w:t>
            </w:r>
          </w:p>
          <w:p>
            <w:pPr>
              <w:rPr>
                <w:rFonts w:ascii="宋体" w:hAnsi="宋体"/>
                <w:szCs w:val="21"/>
              </w:rPr>
            </w:pPr>
            <w:r>
              <w:rPr>
                <w:rFonts w:hint="eastAsia" w:ascii="宋体" w:hAnsi="宋体"/>
                <w:szCs w:val="21"/>
              </w:rPr>
              <w:t>2、具体措施可行。满足招标文件的质量要求。质量违约责任承诺具体，得6分；</w:t>
            </w:r>
          </w:p>
          <w:p>
            <w:pPr>
              <w:rPr>
                <w:rFonts w:ascii="宋体" w:hAnsi="宋体"/>
                <w:szCs w:val="21"/>
              </w:rPr>
            </w:pPr>
            <w:r>
              <w:rPr>
                <w:rFonts w:hint="eastAsia" w:ascii="宋体" w:hAnsi="宋体"/>
                <w:szCs w:val="21"/>
              </w:rPr>
              <w:t>3、措施不可行。质量违约责任承诺不可行，得3分；</w:t>
            </w:r>
          </w:p>
          <w:p>
            <w:pPr>
              <w:rPr>
                <w:rFonts w:ascii="宋体" w:hAnsi="宋体" w:cs="宋体"/>
                <w:szCs w:val="21"/>
              </w:rPr>
            </w:pPr>
            <w:r>
              <w:rPr>
                <w:rFonts w:hint="eastAsia" w:ascii="宋体" w:hAnsi="宋体"/>
                <w:szCs w:val="21"/>
              </w:rPr>
              <w:t>4、无质量保证和质量违约责任承诺，得0分。</w:t>
            </w:r>
          </w:p>
        </w:tc>
        <w:tc>
          <w:tcPr>
            <w:tcW w:w="471" w:type="pct"/>
            <w:vAlign w:val="center"/>
          </w:tcPr>
          <w:p>
            <w:pPr>
              <w:spacing w:beforeLines="50" w:afterLines="50" w:line="240" w:lineRule="auto"/>
              <w:jc w:val="center"/>
              <w:rPr>
                <w:rFonts w:ascii="宋体" w:hAnsi="宋体" w:cs="宋体"/>
                <w:szCs w:val="21"/>
              </w:rPr>
            </w:pPr>
            <w:r>
              <w:rPr>
                <w:rFonts w:hint="eastAsia" w:ascii="宋体" w:hAnsi="宋体" w:cs="宋体"/>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jc w:val="center"/>
        </w:trPr>
        <w:tc>
          <w:tcPr>
            <w:tcW w:w="439" w:type="pct"/>
            <w:vAlign w:val="center"/>
          </w:tcPr>
          <w:p>
            <w:pPr>
              <w:spacing w:beforeLines="50" w:afterLines="50" w:line="240" w:lineRule="auto"/>
              <w:jc w:val="center"/>
              <w:rPr>
                <w:rFonts w:ascii="宋体" w:hAnsi="宋体" w:cs="宋体"/>
                <w:szCs w:val="21"/>
              </w:rPr>
            </w:pPr>
            <w:r>
              <w:rPr>
                <w:rFonts w:hint="eastAsia" w:ascii="宋体" w:hAnsi="宋体" w:cs="宋体"/>
                <w:szCs w:val="21"/>
              </w:rPr>
              <w:t>5</w:t>
            </w:r>
          </w:p>
        </w:tc>
        <w:tc>
          <w:tcPr>
            <w:tcW w:w="918" w:type="pct"/>
            <w:vAlign w:val="center"/>
          </w:tcPr>
          <w:p>
            <w:pPr>
              <w:jc w:val="center"/>
            </w:pPr>
            <w:r>
              <w:t>安全文明施工</w:t>
            </w:r>
          </w:p>
          <w:p>
            <w:pPr>
              <w:jc w:val="center"/>
              <w:rPr>
                <w:rFonts w:ascii="宋体" w:hAnsi="宋体"/>
                <w:szCs w:val="21"/>
              </w:rPr>
            </w:pPr>
            <w:r>
              <w:t>措施</w:t>
            </w:r>
          </w:p>
        </w:tc>
        <w:tc>
          <w:tcPr>
            <w:tcW w:w="3170" w:type="pct"/>
            <w:vAlign w:val="center"/>
          </w:tcPr>
          <w:p>
            <w:pPr>
              <w:rPr>
                <w:rFonts w:ascii="宋体" w:hAnsi="宋体"/>
                <w:szCs w:val="21"/>
              </w:rPr>
            </w:pPr>
            <w:r>
              <w:rPr>
                <w:rFonts w:hint="eastAsia" w:ascii="宋体" w:hAnsi="宋体"/>
                <w:szCs w:val="21"/>
              </w:rPr>
              <w:t>1、针对项目实际情况，有先进、具体、完整、可行的实施措施，采用规范正确、清晰，得9分；</w:t>
            </w:r>
          </w:p>
          <w:p>
            <w:pPr>
              <w:rPr>
                <w:rFonts w:ascii="宋体" w:hAnsi="宋体"/>
                <w:szCs w:val="21"/>
              </w:rPr>
            </w:pPr>
            <w:r>
              <w:rPr>
                <w:rFonts w:hint="eastAsia" w:ascii="宋体" w:hAnsi="宋体"/>
                <w:szCs w:val="21"/>
              </w:rPr>
              <w:t>2、有基本合理的措施，采用规范正确，得6分；</w:t>
            </w:r>
          </w:p>
          <w:p>
            <w:pPr>
              <w:rPr>
                <w:rFonts w:ascii="宋体" w:hAnsi="宋体"/>
                <w:szCs w:val="21"/>
              </w:rPr>
            </w:pPr>
            <w:r>
              <w:rPr>
                <w:rFonts w:hint="eastAsia" w:ascii="宋体" w:hAnsi="宋体"/>
                <w:szCs w:val="21"/>
              </w:rPr>
              <w:t>3、安全文明措施不得力，采用规范不正确，得3分；</w:t>
            </w:r>
          </w:p>
          <w:p>
            <w:pPr>
              <w:rPr>
                <w:rFonts w:ascii="宋体" w:hAnsi="宋体" w:cs="宋体"/>
                <w:szCs w:val="21"/>
              </w:rPr>
            </w:pPr>
            <w:r>
              <w:rPr>
                <w:rFonts w:hint="eastAsia" w:ascii="宋体" w:hAnsi="宋体"/>
                <w:szCs w:val="21"/>
              </w:rPr>
              <w:t>4、无安全文明施工措施，得0分。</w:t>
            </w:r>
          </w:p>
        </w:tc>
        <w:tc>
          <w:tcPr>
            <w:tcW w:w="471" w:type="pct"/>
            <w:vAlign w:val="center"/>
          </w:tcPr>
          <w:p>
            <w:pPr>
              <w:spacing w:beforeLines="50" w:afterLines="50" w:line="240" w:lineRule="auto"/>
              <w:jc w:val="center"/>
              <w:rPr>
                <w:rFonts w:ascii="宋体" w:hAnsi="宋体" w:cs="宋体"/>
                <w:szCs w:val="21"/>
              </w:rPr>
            </w:pPr>
            <w:r>
              <w:rPr>
                <w:rFonts w:hint="eastAsia" w:ascii="宋体" w:hAnsi="宋体" w:cs="宋体"/>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39" w:type="pct"/>
            <w:vAlign w:val="center"/>
          </w:tcPr>
          <w:p>
            <w:pPr>
              <w:spacing w:beforeLines="50" w:afterLines="50" w:line="240" w:lineRule="auto"/>
              <w:jc w:val="center"/>
              <w:rPr>
                <w:rFonts w:ascii="宋体" w:hAnsi="宋体" w:cs="宋体"/>
                <w:szCs w:val="21"/>
              </w:rPr>
            </w:pPr>
            <w:r>
              <w:rPr>
                <w:rFonts w:hint="eastAsia" w:ascii="宋体" w:hAnsi="宋体" w:cs="宋体"/>
                <w:szCs w:val="21"/>
              </w:rPr>
              <w:t>6</w:t>
            </w:r>
          </w:p>
        </w:tc>
        <w:tc>
          <w:tcPr>
            <w:tcW w:w="918" w:type="pct"/>
            <w:vAlign w:val="center"/>
          </w:tcPr>
          <w:p>
            <w:pPr>
              <w:jc w:val="center"/>
              <w:rPr>
                <w:rFonts w:ascii="宋体" w:hAnsi="宋体"/>
                <w:szCs w:val="21"/>
              </w:rPr>
            </w:pPr>
            <w:r>
              <w:t>劳动力投入计划及其保证措施，机械设备投入计划及检测设备</w:t>
            </w:r>
          </w:p>
        </w:tc>
        <w:tc>
          <w:tcPr>
            <w:tcW w:w="3170" w:type="pct"/>
            <w:vAlign w:val="center"/>
          </w:tcPr>
          <w:p>
            <w:pPr>
              <w:rPr>
                <w:rFonts w:ascii="宋体" w:hAnsi="宋体"/>
                <w:szCs w:val="21"/>
              </w:rPr>
            </w:pPr>
            <w:r>
              <w:rPr>
                <w:rFonts w:hint="eastAsia" w:ascii="宋体" w:hAnsi="宋体"/>
                <w:szCs w:val="21"/>
              </w:rPr>
              <w:t>1、投入计划与进度计划呼应，较好满足施工需要，调配投入计划合理、准确，得9分；</w:t>
            </w:r>
          </w:p>
          <w:p>
            <w:pPr>
              <w:rPr>
                <w:rFonts w:ascii="宋体" w:hAnsi="宋体"/>
                <w:szCs w:val="21"/>
              </w:rPr>
            </w:pPr>
            <w:r>
              <w:rPr>
                <w:rFonts w:hint="eastAsia" w:ascii="宋体" w:hAnsi="宋体"/>
                <w:szCs w:val="21"/>
              </w:rPr>
              <w:t>2、投入计划与进度计划呼应，基本满足施工需要，调配投入计划基本合理，得6分；</w:t>
            </w:r>
          </w:p>
          <w:p>
            <w:pPr>
              <w:rPr>
                <w:rFonts w:ascii="宋体" w:hAnsi="宋体"/>
                <w:szCs w:val="21"/>
              </w:rPr>
            </w:pPr>
            <w:r>
              <w:rPr>
                <w:rFonts w:hint="eastAsia" w:ascii="宋体" w:hAnsi="宋体"/>
                <w:szCs w:val="21"/>
              </w:rPr>
              <w:t>3、投入计划与进度计划较差，不能满足施工需要，得3分；</w:t>
            </w:r>
          </w:p>
          <w:p>
            <w:r>
              <w:rPr>
                <w:rFonts w:hint="eastAsia" w:ascii="宋体" w:hAnsi="宋体"/>
                <w:szCs w:val="21"/>
              </w:rPr>
              <w:t>4、无劳动力投入计划及其保证措施，机械设备投入计划及检测设备，得0分。</w:t>
            </w:r>
          </w:p>
        </w:tc>
        <w:tc>
          <w:tcPr>
            <w:tcW w:w="471" w:type="pct"/>
            <w:vAlign w:val="center"/>
          </w:tcPr>
          <w:p>
            <w:pPr>
              <w:spacing w:beforeLines="50" w:afterLines="50" w:line="240" w:lineRule="auto"/>
              <w:jc w:val="center"/>
              <w:rPr>
                <w:rFonts w:ascii="宋体" w:hAnsi="宋体" w:cs="宋体"/>
                <w:szCs w:val="21"/>
              </w:rPr>
            </w:pPr>
            <w:r>
              <w:rPr>
                <w:rFonts w:hint="eastAsia" w:ascii="宋体" w:hAnsi="宋体" w:cs="宋体"/>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39" w:type="pct"/>
            <w:vAlign w:val="center"/>
          </w:tcPr>
          <w:p>
            <w:pPr>
              <w:spacing w:beforeLines="50" w:afterLines="50" w:line="240" w:lineRule="auto"/>
              <w:jc w:val="center"/>
              <w:rPr>
                <w:rFonts w:ascii="宋体" w:hAnsi="宋体" w:cs="宋体"/>
                <w:szCs w:val="21"/>
              </w:rPr>
            </w:pPr>
            <w:r>
              <w:rPr>
                <w:rFonts w:hint="eastAsia" w:ascii="宋体" w:hAnsi="宋体" w:cs="宋体"/>
                <w:szCs w:val="21"/>
              </w:rPr>
              <w:t>7</w:t>
            </w:r>
          </w:p>
        </w:tc>
        <w:tc>
          <w:tcPr>
            <w:tcW w:w="918" w:type="pct"/>
            <w:vAlign w:val="center"/>
          </w:tcPr>
          <w:p>
            <w:pPr>
              <w:jc w:val="center"/>
            </w:pPr>
            <w:r>
              <w:rPr>
                <w:rFonts w:hint="eastAsia" w:ascii="宋体" w:hAnsi="宋体"/>
                <w:szCs w:val="21"/>
              </w:rPr>
              <w:t>拟派项目管理班子配备情况</w:t>
            </w:r>
          </w:p>
        </w:tc>
        <w:tc>
          <w:tcPr>
            <w:tcW w:w="3170" w:type="pct"/>
            <w:vAlign w:val="center"/>
          </w:tcPr>
          <w:p>
            <w:pPr>
              <w:rPr>
                <w:rFonts w:ascii="宋体" w:hAnsi="宋体"/>
                <w:szCs w:val="21"/>
              </w:rPr>
            </w:pPr>
            <w:r>
              <w:rPr>
                <w:rFonts w:hint="eastAsia" w:ascii="宋体" w:hAnsi="宋体"/>
                <w:szCs w:val="21"/>
              </w:rPr>
              <w:t>1、项目管理班子人员齐备、搭配合理，得8分；</w:t>
            </w:r>
          </w:p>
          <w:p>
            <w:pPr>
              <w:rPr>
                <w:rFonts w:ascii="宋体" w:hAnsi="宋体"/>
                <w:szCs w:val="21"/>
              </w:rPr>
            </w:pPr>
            <w:r>
              <w:rPr>
                <w:rFonts w:hint="eastAsia" w:ascii="宋体" w:hAnsi="宋体"/>
                <w:szCs w:val="21"/>
              </w:rPr>
              <w:t>2、项目管理班子人员齐备、搭配基本合理，得5分；</w:t>
            </w:r>
          </w:p>
          <w:p>
            <w:pPr>
              <w:rPr>
                <w:rFonts w:ascii="宋体" w:hAnsi="宋体"/>
                <w:szCs w:val="21"/>
              </w:rPr>
            </w:pPr>
            <w:r>
              <w:rPr>
                <w:rFonts w:hint="eastAsia" w:ascii="宋体" w:hAnsi="宋体"/>
                <w:szCs w:val="21"/>
              </w:rPr>
              <w:t>3、项目管理班子人员配置单薄、搭配不合理，得3分；</w:t>
            </w:r>
          </w:p>
          <w:p>
            <w:pPr>
              <w:rPr>
                <w:rFonts w:ascii="宋体" w:hAnsi="宋体"/>
                <w:szCs w:val="21"/>
              </w:rPr>
            </w:pPr>
            <w:r>
              <w:rPr>
                <w:rFonts w:hint="eastAsia" w:ascii="宋体" w:hAnsi="宋体"/>
                <w:szCs w:val="21"/>
              </w:rPr>
              <w:t>4、无拟派项目管理班子配备情况，得0分。</w:t>
            </w:r>
          </w:p>
        </w:tc>
        <w:tc>
          <w:tcPr>
            <w:tcW w:w="471" w:type="pct"/>
            <w:vAlign w:val="center"/>
          </w:tcPr>
          <w:p>
            <w:pPr>
              <w:spacing w:beforeLines="50" w:afterLines="50" w:line="240" w:lineRule="auto"/>
              <w:jc w:val="center"/>
              <w:rPr>
                <w:rFonts w:ascii="宋体" w:hAnsi="宋体" w:cs="宋体"/>
                <w:szCs w:val="21"/>
              </w:rPr>
            </w:pPr>
            <w:r>
              <w:rPr>
                <w:rFonts w:hint="eastAsia" w:ascii="宋体" w:hAnsi="宋体" w:cs="宋体"/>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39" w:type="pct"/>
            <w:vAlign w:val="center"/>
          </w:tcPr>
          <w:p>
            <w:pPr>
              <w:spacing w:beforeLines="50" w:afterLines="50" w:line="240" w:lineRule="auto"/>
              <w:jc w:val="center"/>
              <w:rPr>
                <w:rFonts w:ascii="宋体" w:hAnsi="宋体" w:cs="宋体"/>
                <w:szCs w:val="21"/>
              </w:rPr>
            </w:pPr>
            <w:r>
              <w:rPr>
                <w:rFonts w:hint="eastAsia" w:ascii="宋体" w:hAnsi="宋体" w:cs="宋体"/>
                <w:szCs w:val="21"/>
              </w:rPr>
              <w:t>8</w:t>
            </w:r>
          </w:p>
        </w:tc>
        <w:tc>
          <w:tcPr>
            <w:tcW w:w="918" w:type="pct"/>
            <w:vAlign w:val="center"/>
          </w:tcPr>
          <w:p>
            <w:pPr>
              <w:spacing w:beforeLines="50" w:afterLines="50" w:line="240" w:lineRule="auto"/>
              <w:jc w:val="center"/>
              <w:rPr>
                <w:rFonts w:ascii="宋体" w:hAnsi="宋体"/>
                <w:szCs w:val="21"/>
              </w:rPr>
            </w:pPr>
            <w:r>
              <w:rPr>
                <w:rFonts w:hint="eastAsia" w:ascii="宋体" w:hAnsi="宋体"/>
                <w:szCs w:val="21"/>
              </w:rPr>
              <w:t>同类项目业绩</w:t>
            </w:r>
          </w:p>
          <w:p>
            <w:pPr>
              <w:spacing w:beforeLines="50" w:afterLines="50" w:line="240" w:lineRule="auto"/>
              <w:jc w:val="center"/>
              <w:rPr>
                <w:rFonts w:ascii="宋体" w:hAnsi="宋体"/>
                <w:szCs w:val="21"/>
              </w:rPr>
            </w:pPr>
            <w:r>
              <w:rPr>
                <w:rFonts w:hint="eastAsia" w:ascii="宋体" w:hAnsi="宋体"/>
                <w:szCs w:val="21"/>
              </w:rPr>
              <w:t>经验</w:t>
            </w:r>
          </w:p>
        </w:tc>
        <w:tc>
          <w:tcPr>
            <w:tcW w:w="3170" w:type="pct"/>
            <w:vAlign w:val="center"/>
          </w:tcPr>
          <w:p>
            <w:pPr>
              <w:rPr>
                <w:rFonts w:ascii="宋体" w:hAnsi="宋体"/>
                <w:szCs w:val="21"/>
              </w:rPr>
            </w:pPr>
            <w:r>
              <w:rPr>
                <w:rFonts w:hint="eastAsia" w:ascii="宋体" w:hAnsi="宋体"/>
                <w:szCs w:val="21"/>
              </w:rPr>
              <w:t>供应商自2019年1月1日（以合同签订时间为准）至今完成的同类型项目业绩每提供一个业绩得2分，满分8分。</w:t>
            </w:r>
          </w:p>
          <w:p>
            <w:pPr>
              <w:rPr>
                <w:rFonts w:ascii="宋体" w:hAnsi="宋体" w:cs="宋体"/>
                <w:szCs w:val="21"/>
              </w:rPr>
            </w:pPr>
            <w:r>
              <w:rPr>
                <w:rFonts w:hint="eastAsia" w:ascii="宋体" w:hAnsi="宋体"/>
                <w:szCs w:val="21"/>
              </w:rPr>
              <w:t>注：提供项目合同关键页（关键页含签订合同双方的单位名称、合同项目名称、项目金额与含签订合同双方的落款盖章、签订日期的关键页）复印件加盖公章，不提供不得分。</w:t>
            </w:r>
          </w:p>
        </w:tc>
        <w:tc>
          <w:tcPr>
            <w:tcW w:w="471" w:type="pct"/>
            <w:vAlign w:val="center"/>
          </w:tcPr>
          <w:p>
            <w:pPr>
              <w:spacing w:beforeLines="50" w:afterLines="50" w:line="240" w:lineRule="auto"/>
              <w:jc w:val="center"/>
              <w:rPr>
                <w:rFonts w:ascii="宋体" w:hAnsi="宋体" w:cs="宋体"/>
                <w:szCs w:val="21"/>
              </w:rPr>
            </w:pPr>
            <w:r>
              <w:rPr>
                <w:rFonts w:hint="eastAsia" w:ascii="宋体" w:hAnsi="宋体" w:cs="宋体"/>
                <w:szCs w:val="21"/>
              </w:rPr>
              <w:t>8</w:t>
            </w:r>
          </w:p>
        </w:tc>
      </w:tr>
      <w:bookmarkEnd w:id="69"/>
    </w:tbl>
    <w:p>
      <w:pPr>
        <w:pStyle w:val="48"/>
        <w:ind w:left="0" w:leftChars="0" w:firstLine="0" w:firstLineChars="0"/>
        <w:rPr>
          <w:rFonts w:ascii="宋体" w:hAnsi="宋体"/>
        </w:rPr>
      </w:pPr>
    </w:p>
    <w:p>
      <w:pPr>
        <w:ind w:firstLine="386" w:firstLineChars="200"/>
        <w:jc w:val="left"/>
        <w:outlineLvl w:val="3"/>
        <w:rPr>
          <w:rFonts w:ascii="宋体" w:hAnsi="宋体" w:cs="Futura-Heavy"/>
          <w:b/>
          <w:bCs/>
          <w:kern w:val="0"/>
          <w:szCs w:val="21"/>
        </w:rPr>
      </w:pPr>
      <w:bookmarkStart w:id="70" w:name="_Toc67046849"/>
      <w:r>
        <w:rPr>
          <w:rFonts w:hint="eastAsia" w:ascii="宋体" w:hAnsi="宋体" w:cs="Futura-Heavy"/>
          <w:b/>
          <w:bCs/>
          <w:kern w:val="0"/>
          <w:szCs w:val="21"/>
        </w:rPr>
        <w:t>表四：价格</w:t>
      </w:r>
      <w:r>
        <w:rPr>
          <w:rFonts w:ascii="宋体" w:hAnsi="宋体" w:cs="Futura-Heavy"/>
          <w:b/>
          <w:bCs/>
          <w:kern w:val="0"/>
          <w:szCs w:val="21"/>
        </w:rPr>
        <w:t>评分细则</w:t>
      </w:r>
      <w:r>
        <w:rPr>
          <w:rFonts w:hint="eastAsia" w:ascii="宋体" w:hAnsi="宋体" w:cs="Futura-Heavy"/>
          <w:b/>
          <w:bCs/>
          <w:kern w:val="0"/>
          <w:szCs w:val="21"/>
        </w:rPr>
        <w:t>表（30分）</w:t>
      </w:r>
      <w:bookmarkEnd w:id="70"/>
    </w:p>
    <w:tbl>
      <w:tblPr>
        <w:tblStyle w:val="4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1"/>
        <w:gridCol w:w="1031"/>
        <w:gridCol w:w="6425"/>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416" w:type="pct"/>
            <w:vAlign w:val="center"/>
          </w:tcPr>
          <w:p>
            <w:pPr>
              <w:spacing w:beforeLines="50" w:afterLines="50" w:line="240" w:lineRule="auto"/>
              <w:jc w:val="center"/>
              <w:rPr>
                <w:rFonts w:ascii="宋体" w:hAnsi="宋体" w:cs="@文鼎CS中黑"/>
                <w:b/>
                <w:bCs/>
                <w:szCs w:val="21"/>
              </w:rPr>
            </w:pPr>
            <w:r>
              <w:rPr>
                <w:rFonts w:hint="eastAsia" w:ascii="宋体" w:hAnsi="宋体" w:cs="@文鼎CS中黑"/>
                <w:b/>
                <w:bCs/>
                <w:szCs w:val="21"/>
              </w:rPr>
              <w:t>序号</w:t>
            </w:r>
          </w:p>
        </w:tc>
        <w:tc>
          <w:tcPr>
            <w:tcW w:w="570" w:type="pct"/>
            <w:vAlign w:val="center"/>
          </w:tcPr>
          <w:p>
            <w:pPr>
              <w:spacing w:beforeLines="50" w:afterLines="50" w:line="240" w:lineRule="auto"/>
              <w:jc w:val="center"/>
              <w:rPr>
                <w:rFonts w:ascii="宋体" w:hAnsi="宋体" w:cs="等线"/>
                <w:b/>
              </w:rPr>
            </w:pPr>
            <w:r>
              <w:rPr>
                <w:rFonts w:hint="eastAsia" w:ascii="宋体" w:hAnsi="宋体" w:cs="等线"/>
                <w:b/>
              </w:rPr>
              <w:t>评审因素</w:t>
            </w:r>
          </w:p>
        </w:tc>
        <w:tc>
          <w:tcPr>
            <w:tcW w:w="3553" w:type="pct"/>
            <w:vAlign w:val="center"/>
          </w:tcPr>
          <w:p>
            <w:pPr>
              <w:spacing w:beforeLines="50" w:afterLines="50" w:line="240" w:lineRule="auto"/>
              <w:jc w:val="center"/>
              <w:rPr>
                <w:rFonts w:ascii="宋体" w:hAnsi="宋体" w:cs="等线"/>
                <w:b/>
              </w:rPr>
            </w:pPr>
            <w:r>
              <w:rPr>
                <w:rFonts w:hint="eastAsia" w:ascii="宋体" w:hAnsi="宋体" w:cs="等线"/>
                <w:b/>
              </w:rPr>
              <w:t>评审标准</w:t>
            </w:r>
          </w:p>
        </w:tc>
        <w:tc>
          <w:tcPr>
            <w:tcW w:w="459" w:type="pct"/>
            <w:vAlign w:val="center"/>
          </w:tcPr>
          <w:p>
            <w:pPr>
              <w:spacing w:beforeLines="50" w:afterLines="50" w:line="240" w:lineRule="auto"/>
              <w:jc w:val="center"/>
              <w:rPr>
                <w:rFonts w:ascii="宋体" w:hAnsi="宋体"/>
                <w:szCs w:val="21"/>
              </w:rPr>
            </w:pPr>
            <w:r>
              <w:rPr>
                <w:rFonts w:hint="eastAsia" w:ascii="宋体" w:hAnsi="宋体" w:cs="@文鼎CS中黑"/>
                <w:b/>
                <w:bCs/>
                <w:szCs w:val="21"/>
              </w:rPr>
              <w:t>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6" w:type="pct"/>
            <w:tcBorders>
              <w:bottom w:val="single" w:color="auto" w:sz="4" w:space="0"/>
            </w:tcBorders>
            <w:vAlign w:val="center"/>
          </w:tcPr>
          <w:p>
            <w:pPr>
              <w:spacing w:beforeLines="50" w:afterLines="50" w:line="240" w:lineRule="auto"/>
              <w:jc w:val="center"/>
              <w:rPr>
                <w:rFonts w:ascii="宋体" w:hAnsi="宋体" w:cs="Courier New"/>
                <w:szCs w:val="21"/>
              </w:rPr>
            </w:pPr>
            <w:r>
              <w:rPr>
                <w:rFonts w:hint="eastAsia" w:ascii="宋体" w:hAnsi="宋体" w:cs="Courier New"/>
                <w:szCs w:val="21"/>
              </w:rPr>
              <w:t>1</w:t>
            </w:r>
          </w:p>
        </w:tc>
        <w:tc>
          <w:tcPr>
            <w:tcW w:w="570" w:type="pct"/>
            <w:tcBorders>
              <w:bottom w:val="single" w:color="auto" w:sz="4" w:space="0"/>
            </w:tcBorders>
            <w:vAlign w:val="center"/>
          </w:tcPr>
          <w:p>
            <w:pPr>
              <w:spacing w:beforeLines="50" w:afterLines="50" w:line="240" w:lineRule="auto"/>
              <w:jc w:val="center"/>
              <w:rPr>
                <w:rFonts w:ascii="宋体" w:hAnsi="宋体" w:cs="Courier New"/>
                <w:szCs w:val="21"/>
              </w:rPr>
            </w:pPr>
            <w:r>
              <w:rPr>
                <w:rFonts w:hint="eastAsia" w:ascii="宋体" w:hAnsi="宋体" w:cs="Courier New"/>
                <w:szCs w:val="21"/>
              </w:rPr>
              <w:t>价格</w:t>
            </w:r>
          </w:p>
        </w:tc>
        <w:tc>
          <w:tcPr>
            <w:tcW w:w="3553" w:type="pct"/>
            <w:tcBorders>
              <w:bottom w:val="single" w:color="auto" w:sz="4" w:space="0"/>
            </w:tcBorders>
            <w:vAlign w:val="center"/>
          </w:tcPr>
          <w:p>
            <w:pPr>
              <w:spacing w:beforeLines="50" w:afterLines="50" w:line="240" w:lineRule="auto"/>
              <w:jc w:val="left"/>
              <w:rPr>
                <w:rFonts w:ascii="宋体" w:hAnsi="宋体" w:cs="Wingdings"/>
                <w:kern w:val="0"/>
                <w:szCs w:val="21"/>
              </w:rPr>
            </w:pPr>
            <w:r>
              <w:rPr>
                <w:rFonts w:hint="eastAsia" w:ascii="宋体" w:hAnsi="宋体"/>
                <w:bCs/>
                <w:szCs w:val="21"/>
              </w:rPr>
              <w:t>投标（响应）报价得分＝（评审基准价</w:t>
            </w:r>
            <w:r>
              <w:rPr>
                <w:rFonts w:ascii="宋体" w:hAnsi="宋体"/>
                <w:bCs/>
                <w:szCs w:val="21"/>
              </w:rPr>
              <w:t>/</w:t>
            </w:r>
            <w:r>
              <w:rPr>
                <w:rFonts w:hint="eastAsia" w:ascii="宋体" w:hAnsi="宋体"/>
                <w:bCs/>
                <w:szCs w:val="21"/>
              </w:rPr>
              <w:t>最终响应</w:t>
            </w:r>
            <w:r>
              <w:rPr>
                <w:rFonts w:ascii="宋体" w:hAnsi="宋体"/>
                <w:bCs/>
                <w:szCs w:val="21"/>
              </w:rPr>
              <w:t>报价）×价格分值【注：满足</w:t>
            </w:r>
            <w:r>
              <w:rPr>
                <w:rFonts w:hint="eastAsia" w:ascii="宋体" w:hAnsi="宋体"/>
                <w:bCs/>
                <w:szCs w:val="21"/>
              </w:rPr>
              <w:t>采购</w:t>
            </w:r>
            <w:r>
              <w:rPr>
                <w:rFonts w:ascii="宋体" w:hAnsi="宋体"/>
                <w:bCs/>
                <w:szCs w:val="21"/>
              </w:rPr>
              <w:t>文件要求且</w:t>
            </w:r>
            <w:r>
              <w:rPr>
                <w:rFonts w:hint="eastAsia" w:ascii="宋体" w:hAnsi="宋体"/>
                <w:bCs/>
                <w:szCs w:val="21"/>
              </w:rPr>
              <w:t>最终响应</w:t>
            </w:r>
            <w:r>
              <w:rPr>
                <w:rFonts w:ascii="宋体" w:hAnsi="宋体"/>
                <w:bCs/>
                <w:szCs w:val="21"/>
              </w:rPr>
              <w:t>价格最低的</w:t>
            </w:r>
            <w:r>
              <w:rPr>
                <w:rFonts w:hint="eastAsia" w:ascii="宋体" w:hAnsi="宋体"/>
                <w:bCs/>
                <w:szCs w:val="21"/>
              </w:rPr>
              <w:t>响应</w:t>
            </w:r>
            <w:r>
              <w:rPr>
                <w:rFonts w:ascii="宋体" w:hAnsi="宋体"/>
                <w:bCs/>
                <w:szCs w:val="21"/>
              </w:rPr>
              <w:t>报价为评</w:t>
            </w:r>
            <w:r>
              <w:rPr>
                <w:rFonts w:hint="eastAsia" w:ascii="宋体" w:hAnsi="宋体"/>
                <w:bCs/>
                <w:szCs w:val="21"/>
              </w:rPr>
              <w:t>审</w:t>
            </w:r>
            <w:r>
              <w:rPr>
                <w:rFonts w:ascii="宋体" w:hAnsi="宋体"/>
                <w:bCs/>
                <w:szCs w:val="21"/>
              </w:rPr>
              <w:t>基准价。】最低报价不是</w:t>
            </w:r>
            <w:r>
              <w:rPr>
                <w:rFonts w:hint="eastAsia" w:ascii="宋体" w:hAnsi="宋体"/>
                <w:bCs/>
                <w:szCs w:val="21"/>
              </w:rPr>
              <w:t>成交</w:t>
            </w:r>
            <w:r>
              <w:rPr>
                <w:rFonts w:ascii="宋体" w:hAnsi="宋体"/>
                <w:bCs/>
                <w:szCs w:val="21"/>
              </w:rPr>
              <w:t>的唯一依据。</w:t>
            </w:r>
          </w:p>
        </w:tc>
        <w:tc>
          <w:tcPr>
            <w:tcW w:w="459" w:type="pct"/>
            <w:tcBorders>
              <w:bottom w:val="single" w:color="auto" w:sz="4" w:space="0"/>
            </w:tcBorders>
            <w:vAlign w:val="center"/>
          </w:tcPr>
          <w:p>
            <w:pPr>
              <w:spacing w:beforeLines="50" w:afterLines="50" w:line="240" w:lineRule="auto"/>
              <w:jc w:val="center"/>
              <w:rPr>
                <w:rFonts w:ascii="宋体" w:hAnsi="宋体"/>
                <w:szCs w:val="21"/>
              </w:rPr>
            </w:pPr>
            <w:r>
              <w:rPr>
                <w:rFonts w:hint="eastAsia" w:ascii="宋体" w:hAnsi="宋体"/>
                <w:szCs w:val="21"/>
              </w:rPr>
              <w:t>30</w:t>
            </w:r>
          </w:p>
        </w:tc>
      </w:tr>
    </w:tbl>
    <w:p>
      <w:pPr>
        <w:pStyle w:val="21"/>
        <w:rPr>
          <w:rFonts w:ascii="宋体" w:hAnsi="宋体"/>
          <w:szCs w:val="20"/>
        </w:rPr>
      </w:pPr>
    </w:p>
    <w:p>
      <w:pPr>
        <w:pStyle w:val="129"/>
        <w:numPr>
          <w:ilvl w:val="0"/>
          <w:numId w:val="14"/>
        </w:numPr>
        <w:jc w:val="left"/>
        <w:outlineLvl w:val="2"/>
        <w:rPr>
          <w:rFonts w:ascii="宋体" w:hAnsi="宋体"/>
          <w:b/>
          <w:szCs w:val="21"/>
        </w:rPr>
      </w:pPr>
      <w:r>
        <w:rPr>
          <w:rFonts w:hint="eastAsia" w:ascii="宋体" w:hAnsi="宋体"/>
          <w:b/>
          <w:szCs w:val="21"/>
        </w:rPr>
        <w:t>汇总、排序</w:t>
      </w:r>
    </w:p>
    <w:p>
      <w:pPr>
        <w:pStyle w:val="21"/>
        <w:ind w:firstLine="386" w:firstLineChars="200"/>
        <w:rPr>
          <w:rFonts w:ascii="宋体" w:hAnsi="宋体"/>
          <w:szCs w:val="20"/>
        </w:rPr>
      </w:pPr>
      <w:r>
        <w:rPr>
          <w:rFonts w:hint="eastAsia" w:ascii="宋体" w:hAnsi="宋体"/>
          <w:szCs w:val="20"/>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129"/>
        <w:numPr>
          <w:ilvl w:val="0"/>
          <w:numId w:val="14"/>
        </w:numPr>
        <w:jc w:val="left"/>
        <w:outlineLvl w:val="2"/>
        <w:rPr>
          <w:rFonts w:ascii="宋体" w:hAnsi="宋体"/>
          <w:b/>
          <w:szCs w:val="21"/>
        </w:rPr>
      </w:pPr>
      <w:r>
        <w:rPr>
          <w:rFonts w:hint="eastAsia" w:ascii="宋体" w:hAnsi="宋体"/>
          <w:b/>
          <w:szCs w:val="21"/>
        </w:rPr>
        <w:t>其他无效响应的情形：</w:t>
      </w:r>
    </w:p>
    <w:p>
      <w:pPr>
        <w:pStyle w:val="21"/>
        <w:ind w:firstLine="386" w:firstLineChars="200"/>
        <w:rPr>
          <w:rFonts w:ascii="宋体" w:hAnsi="宋体"/>
          <w:szCs w:val="21"/>
        </w:rPr>
      </w:pPr>
      <w:r>
        <w:rPr>
          <w:rFonts w:hint="eastAsia" w:ascii="宋体" w:hAnsi="宋体"/>
          <w:szCs w:val="21"/>
        </w:rPr>
        <w:t>（1）评审期间，供应商没有按磋商小组的要求提交法定代表人或其委托代理人签字的澄清、说明、补正或改变了响应文件的实质性内容的。</w:t>
      </w:r>
    </w:p>
    <w:p>
      <w:pPr>
        <w:pStyle w:val="21"/>
        <w:ind w:firstLine="386" w:firstLineChars="200"/>
        <w:rPr>
          <w:rFonts w:ascii="宋体" w:hAnsi="宋体"/>
          <w:szCs w:val="21"/>
        </w:rPr>
      </w:pPr>
      <w:r>
        <w:rPr>
          <w:rFonts w:hint="eastAsia" w:ascii="宋体" w:hAnsi="宋体"/>
          <w:szCs w:val="21"/>
        </w:rPr>
        <w:t>（2）响应文件提供虚假材料的。</w:t>
      </w:r>
    </w:p>
    <w:p>
      <w:pPr>
        <w:pStyle w:val="21"/>
        <w:ind w:firstLine="386" w:firstLineChars="200"/>
        <w:rPr>
          <w:rFonts w:ascii="宋体" w:hAnsi="宋体"/>
          <w:szCs w:val="21"/>
        </w:rPr>
      </w:pPr>
      <w:r>
        <w:rPr>
          <w:rFonts w:hint="eastAsia" w:ascii="宋体" w:hAnsi="宋体"/>
          <w:szCs w:val="21"/>
        </w:rPr>
        <w:t>（3）供应商以他人名义响应、串通响应、以行贿手段谋取成交或者以其他弄虚作假方式响应的。</w:t>
      </w:r>
    </w:p>
    <w:p>
      <w:pPr>
        <w:pStyle w:val="21"/>
        <w:ind w:firstLine="386" w:firstLineChars="200"/>
        <w:rPr>
          <w:rFonts w:ascii="宋体" w:hAnsi="宋体"/>
          <w:szCs w:val="21"/>
        </w:rPr>
      </w:pPr>
      <w:r>
        <w:rPr>
          <w:rFonts w:hint="eastAsia" w:ascii="宋体" w:hAnsi="宋体"/>
          <w:szCs w:val="21"/>
        </w:rPr>
        <w:t>（4）供应商对采购人、采购代理机构、磋商小组及其工作人员施加影响，有碍采购公平、公正的。</w:t>
      </w:r>
    </w:p>
    <w:p>
      <w:pPr>
        <w:pStyle w:val="21"/>
        <w:ind w:firstLine="386" w:firstLineChars="200"/>
        <w:rPr>
          <w:rFonts w:ascii="宋体" w:hAnsi="宋体"/>
          <w:szCs w:val="21"/>
        </w:rPr>
      </w:pPr>
      <w:r>
        <w:rPr>
          <w:rFonts w:hint="eastAsia" w:ascii="宋体" w:hAnsi="宋体"/>
          <w:szCs w:val="21"/>
        </w:rPr>
        <w:t>（5）响应文件含有采购人不能接受的附加条件的。</w:t>
      </w:r>
    </w:p>
    <w:p>
      <w:pPr>
        <w:pStyle w:val="21"/>
        <w:ind w:firstLine="386" w:firstLineChars="200"/>
        <w:rPr>
          <w:rFonts w:ascii="宋体" w:hAnsi="宋体"/>
          <w:szCs w:val="21"/>
        </w:rPr>
      </w:pPr>
      <w:r>
        <w:rPr>
          <w:rFonts w:hint="eastAsia" w:ascii="宋体" w:hAnsi="宋体"/>
          <w:szCs w:val="21"/>
        </w:rPr>
        <w:t>（6）法律、法规和磋商文件规定的其他无效情形。</w:t>
      </w:r>
    </w:p>
    <w:p>
      <w:pPr>
        <w:jc w:val="left"/>
        <w:rPr>
          <w:rFonts w:ascii="宋体" w:hAnsi="宋体"/>
          <w:sz w:val="28"/>
        </w:rPr>
      </w:pPr>
      <w:r>
        <w:rPr>
          <w:rFonts w:ascii="宋体" w:hAnsi="宋体"/>
        </w:rPr>
        <w:br w:type="page"/>
      </w:r>
    </w:p>
    <w:p>
      <w:pPr>
        <w:pStyle w:val="4"/>
        <w:rPr>
          <w:rFonts w:ascii="宋体" w:hAnsi="宋体" w:cs="宋体"/>
          <w:sz w:val="32"/>
          <w:szCs w:val="32"/>
        </w:rPr>
      </w:pPr>
      <w:bookmarkStart w:id="71" w:name="_Toc114516597"/>
      <w:bookmarkStart w:id="72" w:name="_Toc102936915"/>
      <w:bookmarkStart w:id="73" w:name="_Toc104040700"/>
      <w:bookmarkStart w:id="74" w:name="_Toc103216637"/>
      <w:bookmarkStart w:id="75" w:name="_Toc103033216"/>
      <w:r>
        <w:rPr>
          <w:rFonts w:hint="eastAsia" w:ascii="宋体" w:hAnsi="宋体"/>
        </w:rPr>
        <w:t>第五章 合同文本</w:t>
      </w:r>
      <w:bookmarkEnd w:id="64"/>
      <w:bookmarkEnd w:id="65"/>
      <w:bookmarkEnd w:id="66"/>
      <w:bookmarkEnd w:id="71"/>
      <w:bookmarkEnd w:id="72"/>
      <w:bookmarkEnd w:id="73"/>
      <w:bookmarkEnd w:id="74"/>
      <w:bookmarkEnd w:id="75"/>
      <w:bookmarkStart w:id="76" w:name="_Toc103033233"/>
      <w:bookmarkStart w:id="77" w:name="_Toc67046893"/>
      <w:bookmarkStart w:id="78" w:name="_Toc70528467"/>
      <w:bookmarkStart w:id="79" w:name="_Toc68789539"/>
      <w:bookmarkStart w:id="80" w:name="_Toc76397761"/>
      <w:bookmarkStart w:id="81" w:name="_Toc276645578"/>
      <w:bookmarkStart w:id="82" w:name="_Toc201977165"/>
      <w:bookmarkStart w:id="83" w:name="_Toc199652098"/>
    </w:p>
    <w:p>
      <w:pPr>
        <w:jc w:val="left"/>
        <w:rPr>
          <w:rFonts w:ascii="宋体" w:hAnsi="宋体" w:cs="宋体"/>
          <w:bCs/>
          <w:sz w:val="32"/>
          <w:szCs w:val="32"/>
        </w:rPr>
      </w:pPr>
      <w:r>
        <w:rPr>
          <w:rFonts w:hint="eastAsia" w:ascii="宋体" w:hAnsi="宋体" w:cs="宋体"/>
          <w:bCs/>
          <w:sz w:val="32"/>
          <w:szCs w:val="32"/>
        </w:rPr>
        <w:t>（GF—2017—0201）</w:t>
      </w:r>
    </w:p>
    <w:p>
      <w:pPr>
        <w:jc w:val="center"/>
        <w:rPr>
          <w:rFonts w:ascii="宋体" w:hAnsi="宋体" w:cs="宋体"/>
          <w:b/>
          <w:sz w:val="72"/>
          <w:szCs w:val="52"/>
        </w:rPr>
      </w:pPr>
    </w:p>
    <w:p>
      <w:pPr>
        <w:spacing w:line="240" w:lineRule="atLeast"/>
        <w:jc w:val="center"/>
        <w:rPr>
          <w:rFonts w:ascii="宋体" w:hAnsi="宋体" w:cs="宋体"/>
          <w:b/>
          <w:spacing w:val="-50"/>
          <w:sz w:val="72"/>
        </w:rPr>
      </w:pPr>
      <w:r>
        <w:rPr>
          <w:rFonts w:hint="eastAsia" w:ascii="宋体" w:hAnsi="宋体" w:cs="宋体"/>
          <w:b/>
          <w:spacing w:val="6"/>
          <w:sz w:val="72"/>
        </w:rPr>
        <w:t>建设工程施工合同</w:t>
      </w:r>
    </w:p>
    <w:p>
      <w:pPr>
        <w:spacing w:line="600" w:lineRule="exact"/>
        <w:jc w:val="center"/>
        <w:rPr>
          <w:rFonts w:ascii="宋体" w:hAnsi="宋体" w:cs="宋体"/>
        </w:rPr>
      </w:pPr>
    </w:p>
    <w:p>
      <w:pPr>
        <w:spacing w:line="600" w:lineRule="exact"/>
        <w:jc w:val="center"/>
        <w:rPr>
          <w:rFonts w:ascii="宋体" w:hAnsi="宋体" w:cs="宋体"/>
        </w:rPr>
      </w:pPr>
    </w:p>
    <w:p>
      <w:pPr>
        <w:spacing w:line="600" w:lineRule="exact"/>
        <w:jc w:val="center"/>
        <w:rPr>
          <w:rFonts w:ascii="宋体" w:hAnsi="宋体" w:cs="宋体"/>
        </w:rPr>
      </w:pPr>
    </w:p>
    <w:p>
      <w:pPr>
        <w:spacing w:line="600" w:lineRule="exact"/>
        <w:jc w:val="center"/>
        <w:rPr>
          <w:rFonts w:ascii="宋体" w:hAnsi="宋体" w:cs="宋体"/>
        </w:rPr>
      </w:pPr>
    </w:p>
    <w:p>
      <w:pPr>
        <w:spacing w:line="600" w:lineRule="exact"/>
        <w:jc w:val="center"/>
        <w:rPr>
          <w:rFonts w:ascii="宋体" w:hAnsi="宋体" w:cs="宋体"/>
        </w:rPr>
      </w:pPr>
    </w:p>
    <w:p>
      <w:pPr>
        <w:spacing w:line="600" w:lineRule="exact"/>
        <w:jc w:val="center"/>
        <w:rPr>
          <w:rFonts w:ascii="宋体" w:hAnsi="宋体" w:cs="宋体"/>
        </w:rPr>
      </w:pPr>
    </w:p>
    <w:p>
      <w:pPr>
        <w:spacing w:line="600" w:lineRule="exact"/>
        <w:jc w:val="center"/>
        <w:rPr>
          <w:rFonts w:ascii="宋体" w:hAnsi="宋体" w:cs="宋体"/>
        </w:rPr>
      </w:pPr>
    </w:p>
    <w:p>
      <w:pPr>
        <w:spacing w:beforeLines="50" w:afterLines="50" w:line="600" w:lineRule="exact"/>
        <w:rPr>
          <w:rFonts w:ascii="宋体" w:hAnsi="宋体" w:cs="宋体"/>
          <w:b/>
        </w:rPr>
      </w:pPr>
    </w:p>
    <w:p>
      <w:pPr>
        <w:spacing w:beforeLines="50" w:afterLines="50" w:line="600" w:lineRule="exact"/>
        <w:ind w:firstLine="1236" w:firstLineChars="603"/>
        <w:rPr>
          <w:rFonts w:ascii="宋体" w:hAnsi="宋体" w:cs="宋体"/>
          <w:b/>
          <w:spacing w:val="6"/>
        </w:rPr>
      </w:pPr>
      <w:r>
        <w:rPr>
          <w:rFonts w:hint="eastAsia" w:ascii="宋体" w:hAnsi="宋体" w:cs="宋体"/>
          <w:b/>
          <w:spacing w:val="6"/>
        </w:rPr>
        <w:t>工程名称：武警茂名支队机动中队综合智慧训练场建设项目（一期）</w:t>
      </w:r>
    </w:p>
    <w:p>
      <w:pPr>
        <w:spacing w:beforeLines="50" w:afterLines="50" w:line="600" w:lineRule="exact"/>
        <w:ind w:firstLine="1236" w:firstLineChars="603"/>
        <w:rPr>
          <w:rFonts w:ascii="宋体" w:hAnsi="宋体" w:cs="宋体"/>
          <w:b/>
          <w:spacing w:val="6"/>
          <w:u w:val="single"/>
        </w:rPr>
      </w:pPr>
      <w:r>
        <w:rPr>
          <w:rFonts w:hint="eastAsia" w:ascii="宋体" w:hAnsi="宋体" w:cs="宋体"/>
          <w:b/>
          <w:spacing w:val="6"/>
        </w:rPr>
        <w:t>工程地点：</w:t>
      </w:r>
    </w:p>
    <w:p>
      <w:pPr>
        <w:spacing w:beforeLines="50" w:afterLines="50" w:line="600" w:lineRule="exact"/>
        <w:ind w:firstLine="1236" w:firstLineChars="603"/>
        <w:rPr>
          <w:rFonts w:ascii="宋体" w:hAnsi="宋体" w:cs="宋体"/>
          <w:b/>
          <w:spacing w:val="6"/>
        </w:rPr>
      </w:pPr>
      <w:r>
        <w:rPr>
          <w:rFonts w:hint="eastAsia" w:ascii="宋体" w:hAnsi="宋体" w:cs="宋体"/>
          <w:b/>
          <w:spacing w:val="6"/>
        </w:rPr>
        <w:t>发 包 人：茂名市发展集团有限公司</w:t>
      </w:r>
    </w:p>
    <w:p>
      <w:pPr>
        <w:spacing w:beforeLines="50" w:afterLines="50" w:line="600" w:lineRule="exact"/>
        <w:ind w:firstLine="1236" w:firstLineChars="603"/>
        <w:rPr>
          <w:rFonts w:ascii="宋体" w:hAnsi="宋体" w:cs="宋体"/>
          <w:b/>
          <w:spacing w:val="6"/>
        </w:rPr>
      </w:pPr>
      <w:r>
        <w:rPr>
          <w:rFonts w:hint="eastAsia" w:ascii="宋体" w:hAnsi="宋体" w:cs="宋体"/>
          <w:b/>
          <w:spacing w:val="6"/>
        </w:rPr>
        <w:t>承 包 人：</w:t>
      </w:r>
    </w:p>
    <w:p>
      <w:pPr>
        <w:spacing w:beforeLines="50" w:afterLines="50" w:line="600" w:lineRule="exact"/>
        <w:jc w:val="center"/>
        <w:rPr>
          <w:rFonts w:ascii="宋体" w:hAnsi="宋体" w:cs="宋体"/>
          <w:b/>
        </w:rPr>
      </w:pPr>
      <w:r>
        <w:rPr>
          <w:rFonts w:ascii="宋体" w:hAnsi="宋体" w:cs="宋体"/>
        </w:rPr>
        <w:pict>
          <v:shape id="Text Box 2" o:spid="_x0000_s1026" o:spt="202" type="#_x0000_t202" style="position:absolute;left:0pt;margin-left:285.65pt;margin-top:15.85pt;height:53.7pt;width:56.65pt;z-index:251660288;mso-width-relative:page;mso-height-relative:page;" filled="f" stroked="t" coordsize="21600,21600" o:gfxdata="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URXj72gAAAAoBAAAPAAAAAAAAAAEAIAAAACIAAABkcnMvZG93&#10;bnJldi54bWxQSwECFAAUAAAACACHTuJAToQSDDcCAABqBAAADgAAAAAAAAABACAAAAApAQAAZHJz&#10;L2Uyb0RvYy54bWxQSwUGAAAAAAYABgBZAQAA0gUAAAAA&#10;">
            <v:path/>
            <v:fill on="f" focussize="0,0"/>
            <v:stroke color="#FFFFFF" joinstyle="miter"/>
            <v:imagedata o:title=""/>
            <o:lock v:ext="edit"/>
            <v:textbox>
              <w:txbxContent>
                <w:p>
                  <w:pPr>
                    <w:rPr>
                      <w:rFonts w:eastAsia="Times New Roman"/>
                      <w:b/>
                    </w:rPr>
                  </w:pPr>
                  <w:r>
                    <w:rPr>
                      <w:rFonts w:ascii="宋体"/>
                      <w:b/>
                    </w:rPr>
                    <w:t>制定</w:t>
                  </w:r>
                </w:p>
              </w:txbxContent>
            </v:textbox>
          </v:shape>
        </w:pict>
      </w:r>
      <w:r>
        <w:rPr>
          <w:rFonts w:hint="eastAsia" w:ascii="宋体" w:hAnsi="宋体" w:cs="宋体"/>
          <w:b/>
        </w:rPr>
        <w:t>住房城乡建设部</w:t>
      </w:r>
    </w:p>
    <w:p>
      <w:pPr>
        <w:spacing w:line="600" w:lineRule="exact"/>
        <w:ind w:right="-17" w:rightChars="-9"/>
        <w:jc w:val="center"/>
        <w:rPr>
          <w:rFonts w:ascii="宋体" w:hAnsi="宋体" w:cs="宋体"/>
          <w:b/>
        </w:rPr>
      </w:pPr>
      <w:r>
        <w:rPr>
          <w:rFonts w:hint="eastAsia" w:ascii="宋体" w:hAnsi="宋体" w:cs="宋体"/>
          <w:b/>
        </w:rPr>
        <w:t>国家工商行政管理总局</w:t>
      </w:r>
    </w:p>
    <w:p>
      <w:pPr>
        <w:spacing w:line="600" w:lineRule="exact"/>
        <w:rPr>
          <w:rFonts w:ascii="宋体" w:hAnsi="宋体" w:cs="宋体"/>
          <w:b/>
        </w:rPr>
        <w:sectPr>
          <w:headerReference r:id="rId6" w:type="first"/>
          <w:footerReference r:id="rId8" w:type="first"/>
          <w:headerReference r:id="rId5" w:type="default"/>
          <w:footerReference r:id="rId7" w:type="default"/>
          <w:pgSz w:w="11906" w:h="16838"/>
          <w:pgMar w:top="1418" w:right="1531" w:bottom="1418" w:left="1554" w:header="851" w:footer="850" w:gutter="0"/>
          <w:pgNumType w:start="1"/>
          <w:cols w:space="720" w:num="1"/>
          <w:titlePg/>
          <w:docGrid w:type="linesAndChars" w:linePitch="312" w:charSpace="-3629"/>
        </w:sectPr>
      </w:pPr>
    </w:p>
    <w:p>
      <w:pPr>
        <w:tabs>
          <w:tab w:val="left" w:pos="3120"/>
        </w:tabs>
        <w:spacing w:beforeLines="10" w:afterLines="10" w:line="600" w:lineRule="exact"/>
        <w:jc w:val="center"/>
        <w:rPr>
          <w:rFonts w:ascii="宋体" w:hAnsi="宋体" w:cs="宋体"/>
          <w:b/>
          <w:sz w:val="28"/>
          <w:szCs w:val="28"/>
        </w:rPr>
      </w:pPr>
      <w:r>
        <w:rPr>
          <w:rFonts w:hint="eastAsia" w:ascii="宋体" w:hAnsi="宋体" w:cs="宋体"/>
          <w:b/>
          <w:sz w:val="28"/>
          <w:szCs w:val="28"/>
        </w:rPr>
        <w:t>目 录</w:t>
      </w:r>
    </w:p>
    <w:p>
      <w:pPr>
        <w:pStyle w:val="370"/>
        <w:tabs>
          <w:tab w:val="right" w:leader="dot" w:pos="8821"/>
        </w:tabs>
        <w:spacing w:line="360" w:lineRule="auto"/>
        <w:ind w:firstLine="0" w:firstLineChars="0"/>
        <w:jc w:val="center"/>
        <w:rPr>
          <w:rFonts w:ascii="宋体" w:hAnsi="宋体" w:eastAsia="宋体" w:cs="宋体"/>
          <w:kern w:val="0"/>
          <w:sz w:val="21"/>
          <w:szCs w:val="21"/>
        </w:rPr>
      </w:pPr>
      <w:r>
        <w:rPr>
          <w:rFonts w:hint="eastAsia" w:ascii="宋体" w:hAnsi="宋体" w:eastAsia="宋体" w:cs="宋体"/>
          <w:kern w:val="0"/>
          <w:sz w:val="21"/>
          <w:szCs w:val="21"/>
        </w:rPr>
        <w:fldChar w:fldCharType="begin"/>
      </w:r>
      <w:r>
        <w:rPr>
          <w:rFonts w:hint="eastAsia" w:ascii="宋体" w:hAnsi="宋体" w:eastAsia="宋体" w:cs="宋体"/>
          <w:kern w:val="0"/>
          <w:sz w:val="21"/>
          <w:szCs w:val="21"/>
        </w:rPr>
        <w:instrText xml:space="preserve">TOC \o "1-3" \h \u </w:instrText>
      </w:r>
      <w:r>
        <w:rPr>
          <w:rFonts w:hint="eastAsia" w:ascii="宋体" w:hAnsi="宋体" w:eastAsia="宋体" w:cs="宋体"/>
          <w:kern w:val="0"/>
          <w:sz w:val="21"/>
          <w:szCs w:val="21"/>
        </w:rPr>
        <w:fldChar w:fldCharType="separate"/>
      </w:r>
      <w:r>
        <w:rPr>
          <w:rFonts w:hint="eastAsia" w:ascii="宋体" w:hAnsi="宋体" w:eastAsia="宋体" w:cs="宋体"/>
          <w:kern w:val="0"/>
          <w:sz w:val="21"/>
          <w:szCs w:val="21"/>
        </w:rPr>
        <w:t>第一部分 合同协议书.....................................................3</w:t>
      </w:r>
    </w:p>
    <w:p>
      <w:pPr>
        <w:pStyle w:val="129"/>
        <w:widowControl w:val="0"/>
        <w:ind w:firstLine="0"/>
        <w:jc w:val="center"/>
        <w:rPr>
          <w:rFonts w:ascii="宋体" w:hAnsi="宋体" w:cs="宋体"/>
          <w:kern w:val="0"/>
          <w:szCs w:val="21"/>
        </w:rPr>
      </w:pPr>
      <w:r>
        <w:rPr>
          <w:rFonts w:hint="eastAsia" w:ascii="宋体" w:hAnsi="宋体" w:cs="宋体"/>
          <w:kern w:val="0"/>
          <w:szCs w:val="21"/>
        </w:rPr>
        <w:t>第二部分 通用合同条款...................................................8</w:t>
      </w:r>
    </w:p>
    <w:p>
      <w:pPr>
        <w:pStyle w:val="129"/>
        <w:widowControl w:val="0"/>
        <w:ind w:firstLine="0"/>
        <w:jc w:val="center"/>
        <w:rPr>
          <w:rFonts w:ascii="宋体" w:hAnsi="宋体" w:cs="宋体"/>
          <w:kern w:val="0"/>
          <w:szCs w:val="21"/>
        </w:rPr>
      </w:pPr>
      <w:r>
        <w:rPr>
          <w:rFonts w:hint="eastAsia" w:ascii="宋体" w:hAnsi="宋体" w:cs="宋体"/>
          <w:kern w:val="0"/>
          <w:szCs w:val="21"/>
        </w:rPr>
        <w:t>第三部分 专用合同条款..................................................94</w:t>
      </w:r>
    </w:p>
    <w:p>
      <w:pPr>
        <w:pStyle w:val="129"/>
        <w:widowControl w:val="0"/>
        <w:ind w:firstLine="0"/>
        <w:jc w:val="center"/>
        <w:rPr>
          <w:rFonts w:ascii="宋体" w:hAnsi="宋体" w:cs="宋体"/>
          <w:kern w:val="0"/>
          <w:szCs w:val="21"/>
        </w:rPr>
      </w:pPr>
      <w:r>
        <w:rPr>
          <w:rFonts w:hint="eastAsia" w:ascii="宋体" w:hAnsi="宋体" w:cs="宋体"/>
          <w:kern w:val="0"/>
          <w:szCs w:val="21"/>
        </w:rPr>
        <w:t>第四部分 合同附件格式.................................................145</w:t>
      </w:r>
    </w:p>
    <w:p>
      <w:pPr>
        <w:pStyle w:val="129"/>
        <w:widowControl w:val="0"/>
        <w:ind w:firstLine="772" w:firstLineChars="400"/>
        <w:rPr>
          <w:rFonts w:ascii="宋体" w:hAnsi="宋体" w:cs="宋体"/>
          <w:kern w:val="0"/>
          <w:szCs w:val="21"/>
        </w:rPr>
      </w:pPr>
      <w:r>
        <w:rPr>
          <w:rFonts w:hint="eastAsia" w:ascii="宋体" w:hAnsi="宋体" w:cs="宋体"/>
          <w:kern w:val="0"/>
          <w:szCs w:val="21"/>
        </w:rPr>
        <w:t>附件1</w:t>
      </w:r>
    </w:p>
    <w:p>
      <w:pPr>
        <w:pStyle w:val="129"/>
        <w:widowControl w:val="0"/>
        <w:ind w:firstLine="0"/>
        <w:jc w:val="center"/>
        <w:rPr>
          <w:rFonts w:ascii="宋体" w:hAnsi="宋体" w:cs="宋体"/>
          <w:kern w:val="0"/>
          <w:szCs w:val="21"/>
        </w:rPr>
      </w:pPr>
      <w:r>
        <w:rPr>
          <w:rFonts w:hint="eastAsia" w:ascii="宋体" w:hAnsi="宋体" w:cs="宋体"/>
          <w:kern w:val="0"/>
          <w:szCs w:val="21"/>
        </w:rPr>
        <w:t>工程质量保修书........................................................145</w:t>
      </w:r>
    </w:p>
    <w:p>
      <w:pPr>
        <w:pStyle w:val="129"/>
        <w:widowControl w:val="0"/>
        <w:spacing w:line="240" w:lineRule="auto"/>
        <w:ind w:firstLine="772" w:firstLineChars="400"/>
        <w:rPr>
          <w:rFonts w:ascii="宋体" w:hAnsi="宋体" w:cs="宋体"/>
          <w:kern w:val="0"/>
          <w:szCs w:val="21"/>
        </w:rPr>
      </w:pPr>
      <w:r>
        <w:rPr>
          <w:rFonts w:hint="eastAsia" w:ascii="宋体" w:hAnsi="宋体" w:cs="宋体"/>
          <w:kern w:val="0"/>
          <w:szCs w:val="21"/>
        </w:rPr>
        <w:t>附件2</w:t>
      </w:r>
    </w:p>
    <w:p>
      <w:pPr>
        <w:pStyle w:val="129"/>
        <w:widowControl w:val="0"/>
        <w:ind w:firstLine="0"/>
        <w:jc w:val="center"/>
        <w:rPr>
          <w:rFonts w:ascii="宋体" w:hAnsi="宋体" w:cs="宋体"/>
          <w:kern w:val="0"/>
          <w:szCs w:val="21"/>
        </w:rPr>
      </w:pPr>
      <w:r>
        <w:rPr>
          <w:rFonts w:hint="eastAsia" w:ascii="宋体" w:hAnsi="宋体" w:cs="宋体"/>
          <w:kern w:val="0"/>
          <w:szCs w:val="21"/>
        </w:rPr>
        <w:t>履约银行保函..........................................................155</w:t>
      </w:r>
    </w:p>
    <w:p>
      <w:pPr>
        <w:pStyle w:val="129"/>
        <w:widowControl w:val="0"/>
        <w:ind w:firstLine="772" w:firstLineChars="400"/>
        <w:rPr>
          <w:rFonts w:ascii="宋体" w:hAnsi="宋体" w:cs="宋体"/>
          <w:kern w:val="0"/>
          <w:szCs w:val="21"/>
        </w:rPr>
      </w:pPr>
      <w:r>
        <w:rPr>
          <w:rFonts w:hint="eastAsia" w:ascii="宋体" w:hAnsi="宋体" w:cs="宋体"/>
          <w:kern w:val="0"/>
          <w:szCs w:val="21"/>
        </w:rPr>
        <w:t>附件3</w:t>
      </w:r>
    </w:p>
    <w:p>
      <w:pPr>
        <w:pStyle w:val="129"/>
        <w:widowControl w:val="0"/>
        <w:ind w:firstLine="0"/>
        <w:jc w:val="center"/>
        <w:rPr>
          <w:rFonts w:ascii="宋体" w:hAnsi="宋体" w:cs="宋体"/>
          <w:kern w:val="0"/>
          <w:szCs w:val="21"/>
        </w:rPr>
      </w:pPr>
      <w:r>
        <w:rPr>
          <w:rFonts w:hint="eastAsia" w:ascii="宋体" w:hAnsi="宋体" w:cs="宋体"/>
          <w:kern w:val="0"/>
          <w:szCs w:val="21"/>
        </w:rPr>
        <w:t>投标人声明............................................................156</w:t>
      </w:r>
    </w:p>
    <w:p>
      <w:pPr>
        <w:pStyle w:val="129"/>
        <w:widowControl w:val="0"/>
        <w:ind w:firstLine="772" w:firstLineChars="400"/>
        <w:rPr>
          <w:rFonts w:ascii="宋体" w:hAnsi="宋体" w:cs="宋体"/>
          <w:kern w:val="0"/>
          <w:szCs w:val="21"/>
        </w:rPr>
      </w:pPr>
      <w:r>
        <w:rPr>
          <w:rFonts w:hint="eastAsia" w:ascii="宋体" w:hAnsi="宋体" w:cs="宋体"/>
          <w:kern w:val="0"/>
          <w:szCs w:val="21"/>
        </w:rPr>
        <w:t>附件4</w:t>
      </w:r>
    </w:p>
    <w:p>
      <w:pPr>
        <w:pStyle w:val="129"/>
        <w:widowControl w:val="0"/>
        <w:ind w:firstLine="0"/>
        <w:jc w:val="center"/>
        <w:rPr>
          <w:rFonts w:ascii="宋体" w:hAnsi="宋体" w:cs="宋体"/>
          <w:kern w:val="0"/>
          <w:szCs w:val="21"/>
        </w:rPr>
      </w:pPr>
      <w:r>
        <w:rPr>
          <w:rFonts w:hint="eastAsia" w:ascii="宋体" w:hAnsi="宋体" w:cs="宋体"/>
          <w:kern w:val="0"/>
          <w:szCs w:val="21"/>
        </w:rPr>
        <w:t>预付款担保............................................................158</w:t>
      </w:r>
    </w:p>
    <w:p>
      <w:pPr>
        <w:pStyle w:val="129"/>
        <w:widowControl w:val="0"/>
        <w:ind w:firstLine="772" w:firstLineChars="400"/>
        <w:rPr>
          <w:rFonts w:ascii="宋体" w:hAnsi="宋体" w:cs="宋体"/>
          <w:kern w:val="0"/>
          <w:szCs w:val="21"/>
        </w:rPr>
      </w:pPr>
      <w:r>
        <w:rPr>
          <w:rFonts w:hint="eastAsia" w:ascii="宋体" w:hAnsi="宋体" w:cs="宋体"/>
          <w:kern w:val="0"/>
          <w:szCs w:val="21"/>
        </w:rPr>
        <w:t>附件5</w:t>
      </w:r>
    </w:p>
    <w:p>
      <w:pPr>
        <w:pStyle w:val="129"/>
        <w:widowControl w:val="0"/>
        <w:ind w:firstLine="0"/>
        <w:jc w:val="center"/>
        <w:rPr>
          <w:rFonts w:ascii="宋体" w:hAnsi="宋体" w:cs="宋体"/>
          <w:kern w:val="0"/>
          <w:szCs w:val="21"/>
        </w:rPr>
      </w:pPr>
      <w:r>
        <w:rPr>
          <w:rFonts w:hint="eastAsia" w:ascii="宋体" w:hAnsi="宋体" w:cs="宋体"/>
          <w:kern w:val="0"/>
          <w:szCs w:val="21"/>
        </w:rPr>
        <w:t>支付担保..............................................................160</w:t>
      </w:r>
    </w:p>
    <w:p>
      <w:pPr>
        <w:pStyle w:val="129"/>
        <w:widowControl w:val="0"/>
        <w:ind w:firstLine="772" w:firstLineChars="400"/>
        <w:rPr>
          <w:rFonts w:ascii="宋体" w:hAnsi="宋体" w:cs="宋体"/>
          <w:kern w:val="0"/>
          <w:szCs w:val="21"/>
        </w:rPr>
      </w:pPr>
      <w:r>
        <w:rPr>
          <w:rFonts w:hint="eastAsia" w:ascii="宋体" w:hAnsi="宋体" w:cs="宋体"/>
          <w:kern w:val="0"/>
          <w:szCs w:val="21"/>
        </w:rPr>
        <w:t>附件6</w:t>
      </w:r>
    </w:p>
    <w:p>
      <w:pPr>
        <w:pStyle w:val="129"/>
        <w:widowControl w:val="0"/>
        <w:ind w:firstLine="0"/>
        <w:jc w:val="center"/>
        <w:rPr>
          <w:rFonts w:ascii="宋体" w:hAnsi="宋体" w:cs="宋体"/>
          <w:kern w:val="0"/>
          <w:szCs w:val="21"/>
        </w:rPr>
      </w:pPr>
      <w:r>
        <w:rPr>
          <w:rFonts w:hint="eastAsia" w:ascii="宋体" w:hAnsi="宋体" w:cs="宋体"/>
          <w:kern w:val="0"/>
          <w:szCs w:val="21"/>
        </w:rPr>
        <w:t>发包人供应材料设备一览表..............................................163</w:t>
      </w:r>
    </w:p>
    <w:p>
      <w:pPr>
        <w:pStyle w:val="129"/>
        <w:widowControl w:val="0"/>
        <w:ind w:firstLine="772" w:firstLineChars="400"/>
        <w:rPr>
          <w:rFonts w:ascii="宋体" w:hAnsi="宋体" w:cs="宋体"/>
          <w:kern w:val="0"/>
          <w:szCs w:val="21"/>
        </w:rPr>
      </w:pPr>
      <w:r>
        <w:rPr>
          <w:rFonts w:hint="eastAsia" w:ascii="宋体" w:hAnsi="宋体" w:cs="宋体"/>
          <w:kern w:val="0"/>
          <w:szCs w:val="21"/>
        </w:rPr>
        <w:t>附件7</w:t>
      </w:r>
    </w:p>
    <w:p>
      <w:pPr>
        <w:pStyle w:val="129"/>
        <w:widowControl w:val="0"/>
        <w:ind w:firstLine="0"/>
        <w:jc w:val="center"/>
        <w:rPr>
          <w:rFonts w:ascii="宋体" w:hAnsi="宋体" w:cs="宋体"/>
          <w:kern w:val="0"/>
          <w:szCs w:val="21"/>
        </w:rPr>
      </w:pPr>
      <w:r>
        <w:rPr>
          <w:rFonts w:hint="eastAsia" w:ascii="宋体" w:hAnsi="宋体" w:cs="宋体"/>
          <w:kern w:val="0"/>
          <w:szCs w:val="21"/>
        </w:rPr>
        <w:t>主要建设工程文件目录..................................................164</w:t>
      </w:r>
    </w:p>
    <w:p>
      <w:pPr>
        <w:pStyle w:val="129"/>
        <w:widowControl w:val="0"/>
        <w:ind w:firstLine="772" w:firstLineChars="400"/>
        <w:rPr>
          <w:rFonts w:ascii="宋体" w:hAnsi="宋体" w:cs="宋体"/>
          <w:kern w:val="0"/>
          <w:szCs w:val="21"/>
        </w:rPr>
      </w:pPr>
      <w:r>
        <w:rPr>
          <w:rFonts w:hint="eastAsia" w:ascii="宋体" w:hAnsi="宋体" w:cs="宋体"/>
          <w:kern w:val="0"/>
          <w:szCs w:val="21"/>
        </w:rPr>
        <w:t>附件8</w:t>
      </w:r>
    </w:p>
    <w:p>
      <w:pPr>
        <w:pStyle w:val="129"/>
        <w:widowControl w:val="0"/>
        <w:ind w:firstLine="0"/>
        <w:jc w:val="center"/>
        <w:rPr>
          <w:rFonts w:ascii="宋体" w:hAnsi="宋体" w:cs="宋体"/>
          <w:kern w:val="0"/>
          <w:szCs w:val="21"/>
        </w:rPr>
      </w:pPr>
      <w:r>
        <w:rPr>
          <w:rFonts w:hint="eastAsia" w:ascii="宋体" w:hAnsi="宋体" w:cs="宋体"/>
          <w:kern w:val="0"/>
          <w:szCs w:val="21"/>
        </w:rPr>
        <w:t>承包人用于本工程施工的机械设备表......................................165</w:t>
      </w:r>
    </w:p>
    <w:p>
      <w:pPr>
        <w:pStyle w:val="129"/>
        <w:widowControl w:val="0"/>
        <w:ind w:firstLine="772" w:firstLineChars="400"/>
        <w:rPr>
          <w:rFonts w:ascii="宋体" w:hAnsi="宋体" w:cs="宋体"/>
          <w:kern w:val="0"/>
          <w:szCs w:val="21"/>
        </w:rPr>
      </w:pPr>
      <w:r>
        <w:rPr>
          <w:rFonts w:hint="eastAsia" w:ascii="宋体" w:hAnsi="宋体" w:cs="宋体"/>
          <w:kern w:val="0"/>
          <w:szCs w:val="21"/>
        </w:rPr>
        <w:t>附件9</w:t>
      </w:r>
    </w:p>
    <w:p>
      <w:pPr>
        <w:pStyle w:val="129"/>
        <w:widowControl w:val="0"/>
        <w:ind w:firstLine="0"/>
        <w:jc w:val="center"/>
        <w:rPr>
          <w:rFonts w:ascii="宋体" w:hAnsi="宋体" w:cs="宋体"/>
          <w:kern w:val="0"/>
          <w:szCs w:val="21"/>
        </w:rPr>
      </w:pPr>
      <w:r>
        <w:rPr>
          <w:rFonts w:hint="eastAsia" w:ascii="宋体" w:hAnsi="宋体" w:cs="宋体"/>
          <w:kern w:val="0"/>
          <w:szCs w:val="21"/>
        </w:rPr>
        <w:t>承包人主要施工管理人员表..............................................166</w:t>
      </w:r>
    </w:p>
    <w:p>
      <w:pPr>
        <w:pStyle w:val="129"/>
        <w:widowControl w:val="0"/>
        <w:ind w:firstLine="772" w:firstLineChars="400"/>
        <w:rPr>
          <w:rFonts w:ascii="宋体" w:hAnsi="宋体" w:cs="宋体"/>
          <w:kern w:val="0"/>
          <w:szCs w:val="21"/>
        </w:rPr>
      </w:pPr>
      <w:r>
        <w:rPr>
          <w:rFonts w:hint="eastAsia" w:ascii="宋体" w:hAnsi="宋体" w:cs="宋体"/>
          <w:kern w:val="0"/>
          <w:szCs w:val="21"/>
        </w:rPr>
        <w:t>附件10</w:t>
      </w:r>
    </w:p>
    <w:p>
      <w:pPr>
        <w:pStyle w:val="129"/>
        <w:widowControl w:val="0"/>
        <w:ind w:firstLine="0"/>
        <w:jc w:val="center"/>
        <w:rPr>
          <w:rFonts w:ascii="宋体" w:hAnsi="宋体" w:cs="宋体"/>
          <w:kern w:val="0"/>
          <w:szCs w:val="21"/>
        </w:rPr>
      </w:pPr>
      <w:r>
        <w:rPr>
          <w:rFonts w:hint="eastAsia" w:ascii="宋体" w:hAnsi="宋体" w:cs="宋体"/>
          <w:kern w:val="0"/>
          <w:szCs w:val="21"/>
        </w:rPr>
        <w:t>10-1 材料暂估价表.....................................................171</w:t>
      </w:r>
    </w:p>
    <w:p>
      <w:pPr>
        <w:pStyle w:val="129"/>
        <w:widowControl w:val="0"/>
        <w:ind w:firstLine="0"/>
        <w:jc w:val="center"/>
        <w:rPr>
          <w:rFonts w:ascii="宋体" w:hAnsi="宋体" w:cs="宋体"/>
          <w:kern w:val="0"/>
          <w:szCs w:val="21"/>
        </w:rPr>
      </w:pPr>
      <w:r>
        <w:rPr>
          <w:rFonts w:hint="eastAsia" w:ascii="宋体" w:hAnsi="宋体" w:cs="宋体"/>
          <w:kern w:val="0"/>
          <w:szCs w:val="21"/>
        </w:rPr>
        <w:t>10-2 工程设备暂估价表.................................................172</w:t>
      </w:r>
    </w:p>
    <w:p>
      <w:pPr>
        <w:pStyle w:val="129"/>
        <w:widowControl w:val="0"/>
        <w:ind w:firstLine="0"/>
        <w:jc w:val="center"/>
        <w:rPr>
          <w:rFonts w:ascii="宋体" w:hAnsi="宋体" w:cs="宋体"/>
          <w:kern w:val="0"/>
          <w:szCs w:val="21"/>
        </w:rPr>
      </w:pPr>
      <w:r>
        <w:rPr>
          <w:rFonts w:hint="eastAsia" w:ascii="宋体" w:hAnsi="宋体" w:cs="宋体"/>
          <w:kern w:val="0"/>
          <w:szCs w:val="21"/>
        </w:rPr>
        <w:t>10-3 专业工程暂估价表.................................................173</w:t>
      </w:r>
    </w:p>
    <w:p>
      <w:pPr>
        <w:pStyle w:val="129"/>
        <w:widowControl w:val="0"/>
        <w:ind w:firstLine="772" w:firstLineChars="400"/>
        <w:rPr>
          <w:rFonts w:ascii="宋体" w:hAnsi="宋体" w:cs="宋体"/>
          <w:kern w:val="0"/>
          <w:szCs w:val="21"/>
        </w:rPr>
      </w:pPr>
      <w:r>
        <w:rPr>
          <w:rFonts w:hint="eastAsia" w:ascii="宋体" w:hAnsi="宋体" w:cs="宋体"/>
          <w:kern w:val="0"/>
          <w:szCs w:val="21"/>
        </w:rPr>
        <w:t>附件11</w:t>
      </w:r>
    </w:p>
    <w:p>
      <w:pPr>
        <w:pStyle w:val="129"/>
        <w:widowControl w:val="0"/>
        <w:ind w:firstLine="0"/>
        <w:jc w:val="center"/>
        <w:rPr>
          <w:rFonts w:ascii="宋体" w:hAnsi="宋体" w:cs="宋体"/>
          <w:kern w:val="0"/>
          <w:szCs w:val="21"/>
        </w:rPr>
      </w:pPr>
      <w:r>
        <w:rPr>
          <w:rFonts w:hint="eastAsia" w:ascii="宋体" w:hAnsi="宋体" w:cs="宋体"/>
          <w:kern w:val="0"/>
          <w:szCs w:val="21"/>
        </w:rPr>
        <w:t>承包人承揽工程项目一览表..............................................174</w:t>
      </w:r>
    </w:p>
    <w:p>
      <w:pPr>
        <w:pStyle w:val="370"/>
        <w:tabs>
          <w:tab w:val="right" w:leader="dot" w:pos="8821"/>
        </w:tabs>
        <w:ind w:firstLine="0" w:firstLineChars="0"/>
        <w:jc w:val="center"/>
        <w:rPr>
          <w:rFonts w:ascii="宋体" w:hAnsi="宋体" w:eastAsia="宋体" w:cs="宋体"/>
          <w:sz w:val="21"/>
        </w:rPr>
        <w:sectPr>
          <w:headerReference r:id="rId10" w:type="first"/>
          <w:footerReference r:id="rId12" w:type="first"/>
          <w:headerReference r:id="rId9" w:type="default"/>
          <w:footerReference r:id="rId11" w:type="default"/>
          <w:pgSz w:w="11906" w:h="16838"/>
          <w:pgMar w:top="1418" w:right="1531" w:bottom="1418" w:left="1554" w:header="851" w:footer="850" w:gutter="0"/>
          <w:cols w:space="720" w:num="1"/>
          <w:titlePg/>
          <w:docGrid w:type="linesAndChars" w:linePitch="312" w:charSpace="-3629"/>
        </w:sectPr>
      </w:pPr>
      <w:r>
        <w:rPr>
          <w:rFonts w:hint="eastAsia" w:ascii="宋体" w:hAnsi="宋体" w:eastAsia="宋体" w:cs="宋体"/>
          <w:kern w:val="0"/>
          <w:sz w:val="21"/>
          <w:szCs w:val="21"/>
        </w:rPr>
        <w:fldChar w:fldCharType="end"/>
      </w:r>
    </w:p>
    <w:p>
      <w:pPr>
        <w:pStyle w:val="5"/>
        <w:keepNext w:val="0"/>
        <w:keepLines w:val="0"/>
        <w:tabs>
          <w:tab w:val="left" w:pos="576"/>
        </w:tabs>
        <w:spacing w:before="156"/>
        <w:ind w:left="576" w:hanging="576"/>
        <w:jc w:val="center"/>
        <w:rPr>
          <w:rFonts w:ascii="宋体" w:hAnsi="宋体" w:cs="宋体"/>
          <w:bCs w:val="0"/>
          <w:sz w:val="32"/>
        </w:rPr>
      </w:pPr>
      <w:bookmarkStart w:id="84" w:name="_Toc531184897"/>
      <w:bookmarkStart w:id="85" w:name="_Toc21762"/>
      <w:bookmarkStart w:id="86" w:name="_Toc16409"/>
      <w:bookmarkStart w:id="87" w:name="_Toc531184867"/>
      <w:bookmarkStart w:id="88" w:name="_Toc531019290"/>
      <w:r>
        <w:rPr>
          <w:rFonts w:hint="eastAsia" w:ascii="宋体" w:hAnsi="宋体" w:cs="宋体"/>
          <w:bCs w:val="0"/>
          <w:sz w:val="32"/>
        </w:rPr>
        <w:t>第一部分 合同协议书</w:t>
      </w:r>
      <w:bookmarkEnd w:id="84"/>
      <w:bookmarkEnd w:id="85"/>
      <w:bookmarkEnd w:id="86"/>
      <w:bookmarkEnd w:id="87"/>
      <w:bookmarkEnd w:id="88"/>
    </w:p>
    <w:p>
      <w:pPr>
        <w:spacing w:beforeLines="100"/>
        <w:rPr>
          <w:rFonts w:ascii="宋体" w:hAnsi="宋体" w:cs="宋体"/>
          <w:szCs w:val="21"/>
          <w:u w:val="single"/>
        </w:rPr>
      </w:pPr>
      <w:r>
        <w:rPr>
          <w:rFonts w:hint="eastAsia" w:ascii="宋体" w:hAnsi="宋体" w:cs="宋体"/>
          <w:szCs w:val="21"/>
        </w:rPr>
        <w:t>发包人（全称）：</w:t>
      </w:r>
      <w:r>
        <w:rPr>
          <w:rFonts w:hint="eastAsia" w:ascii="宋体" w:hAnsi="宋体" w:cs="宋体"/>
          <w:szCs w:val="21"/>
          <w:u w:val="single"/>
        </w:rPr>
        <w:t>茂名市发展集团有限公司</w:t>
      </w:r>
    </w:p>
    <w:p>
      <w:pPr>
        <w:rPr>
          <w:rFonts w:ascii="宋体" w:hAnsi="宋体" w:cs="宋体"/>
          <w:szCs w:val="21"/>
          <w:u w:val="single"/>
        </w:rPr>
      </w:pPr>
      <w:r>
        <w:rPr>
          <w:rFonts w:hint="eastAsia" w:ascii="宋体" w:hAnsi="宋体" w:cs="宋体"/>
          <w:szCs w:val="21"/>
        </w:rPr>
        <w:t>承包人（全称）：</w:t>
      </w:r>
    </w:p>
    <w:p>
      <w:pPr>
        <w:spacing w:beforeLines="50"/>
        <w:ind w:firstLine="420" w:firstLineChars="200"/>
        <w:rPr>
          <w:rFonts w:ascii="宋体" w:hAnsi="宋体" w:cs="宋体"/>
          <w:szCs w:val="21"/>
        </w:rPr>
      </w:pPr>
      <w:r>
        <w:rPr>
          <w:rFonts w:hint="eastAsia" w:ascii="宋体" w:hAnsi="宋体" w:cs="宋体"/>
          <w:szCs w:val="21"/>
        </w:rPr>
        <w:t>根据《中华人民共和国民法典（合同编）》、《中华人民共和国建筑法》及有关法律规定，遵循平等、自愿、公平和诚实信用的原则，双方就</w:t>
      </w:r>
      <w:r>
        <w:rPr>
          <w:rFonts w:hint="eastAsia" w:ascii="宋体" w:hAnsi="宋体" w:cs="宋体"/>
          <w:b/>
          <w:szCs w:val="21"/>
          <w:u w:val="single"/>
        </w:rPr>
        <w:t>武警茂名支队机动中队综合智慧训练场建设项目（一期）</w:t>
      </w:r>
      <w:r>
        <w:rPr>
          <w:rFonts w:hint="eastAsia" w:ascii="宋体" w:hAnsi="宋体" w:cs="宋体"/>
          <w:szCs w:val="21"/>
        </w:rPr>
        <w:t>施工及有关事项协商一致，共同达成如下协议：</w:t>
      </w:r>
    </w:p>
    <w:p>
      <w:pPr>
        <w:rPr>
          <w:rFonts w:ascii="宋体" w:hAnsi="宋体" w:cs="宋体"/>
          <w:b/>
          <w:szCs w:val="21"/>
        </w:rPr>
      </w:pPr>
      <w:r>
        <w:rPr>
          <w:rFonts w:hint="eastAsia" w:ascii="宋体" w:hAnsi="宋体" w:cs="宋体"/>
          <w:b/>
          <w:szCs w:val="21"/>
        </w:rPr>
        <w:t>一、工程概况</w:t>
      </w:r>
    </w:p>
    <w:p>
      <w:pPr>
        <w:ind w:firstLine="411" w:firstLineChars="196"/>
        <w:rPr>
          <w:rFonts w:ascii="宋体" w:hAnsi="宋体" w:cs="宋体"/>
          <w:b/>
          <w:bCs/>
          <w:szCs w:val="21"/>
          <w:u w:val="single"/>
        </w:rPr>
      </w:pPr>
      <w:r>
        <w:rPr>
          <w:rFonts w:hint="eastAsia" w:ascii="宋体" w:hAnsi="宋体" w:cs="宋体"/>
          <w:szCs w:val="21"/>
        </w:rPr>
        <w:t>1.工程名称：</w:t>
      </w:r>
      <w:r>
        <w:rPr>
          <w:rFonts w:hint="eastAsia" w:ascii="宋体" w:hAnsi="宋体" w:cs="宋体"/>
          <w:b/>
          <w:bCs/>
          <w:szCs w:val="21"/>
          <w:u w:val="single"/>
        </w:rPr>
        <w:t>武警茂名支队机动中队综合智慧训练场建设项目（一期）</w:t>
      </w:r>
    </w:p>
    <w:p>
      <w:pPr>
        <w:ind w:firstLine="411" w:firstLineChars="196"/>
        <w:rPr>
          <w:rFonts w:ascii="宋体" w:hAnsi="宋体" w:cs="宋体"/>
          <w:szCs w:val="21"/>
        </w:rPr>
      </w:pPr>
      <w:r>
        <w:rPr>
          <w:rFonts w:hint="eastAsia" w:ascii="宋体" w:hAnsi="宋体" w:cs="宋体"/>
          <w:szCs w:val="21"/>
        </w:rPr>
        <w:t>2.工程地点：</w:t>
      </w:r>
    </w:p>
    <w:p>
      <w:pPr>
        <w:ind w:firstLine="411" w:firstLineChars="196"/>
        <w:rPr>
          <w:rFonts w:ascii="宋体" w:hAnsi="宋体" w:cs="宋体"/>
          <w:b/>
          <w:bCs/>
          <w:szCs w:val="21"/>
          <w:u w:val="single"/>
        </w:rPr>
      </w:pPr>
      <w:r>
        <w:rPr>
          <w:rFonts w:hint="eastAsia" w:ascii="宋体" w:hAnsi="宋体" w:cs="宋体"/>
          <w:szCs w:val="21"/>
        </w:rPr>
        <w:t>3.工程立项批准文号：</w:t>
      </w:r>
    </w:p>
    <w:p>
      <w:pPr>
        <w:ind w:firstLine="411" w:firstLineChars="196"/>
        <w:rPr>
          <w:rFonts w:ascii="宋体" w:hAnsi="宋体" w:cs="宋体"/>
          <w:szCs w:val="21"/>
        </w:rPr>
      </w:pPr>
      <w:r>
        <w:rPr>
          <w:rFonts w:hint="eastAsia" w:ascii="宋体" w:hAnsi="宋体" w:cs="宋体"/>
          <w:szCs w:val="21"/>
        </w:rPr>
        <w:t>4.资金来源：</w:t>
      </w:r>
    </w:p>
    <w:p>
      <w:pPr>
        <w:ind w:firstLine="420" w:firstLineChars="200"/>
        <w:rPr>
          <w:rFonts w:ascii="宋体" w:hAnsi="宋体" w:cs="宋体"/>
          <w:szCs w:val="21"/>
          <w:u w:val="single"/>
        </w:rPr>
      </w:pPr>
      <w:r>
        <w:rPr>
          <w:rFonts w:hint="eastAsia" w:ascii="宋体" w:hAnsi="宋体" w:cs="宋体"/>
          <w:szCs w:val="21"/>
        </w:rPr>
        <w:t>5.工程内容：</w:t>
      </w:r>
    </w:p>
    <w:p>
      <w:pPr>
        <w:ind w:firstLine="405" w:firstLineChars="193"/>
        <w:rPr>
          <w:rFonts w:ascii="宋体" w:hAnsi="宋体" w:cs="宋体"/>
          <w:b/>
          <w:szCs w:val="21"/>
          <w:u w:val="single"/>
        </w:rPr>
      </w:pPr>
      <w:r>
        <w:rPr>
          <w:rFonts w:hint="eastAsia" w:ascii="宋体" w:hAnsi="宋体" w:cs="宋体"/>
          <w:szCs w:val="21"/>
        </w:rPr>
        <w:t>6.工程承包范围：</w:t>
      </w:r>
    </w:p>
    <w:p>
      <w:pPr>
        <w:rPr>
          <w:rFonts w:ascii="宋体" w:hAnsi="宋体" w:cs="宋体"/>
          <w:b/>
          <w:szCs w:val="21"/>
        </w:rPr>
      </w:pPr>
      <w:r>
        <w:rPr>
          <w:rFonts w:hint="eastAsia" w:ascii="宋体" w:hAnsi="宋体" w:cs="宋体"/>
          <w:b/>
          <w:szCs w:val="21"/>
        </w:rPr>
        <w:t>二、合同工期</w:t>
      </w:r>
    </w:p>
    <w:p>
      <w:pPr>
        <w:ind w:firstLine="459"/>
        <w:rPr>
          <w:rFonts w:ascii="宋体" w:hAnsi="宋体" w:cs="宋体"/>
          <w:szCs w:val="21"/>
        </w:rPr>
      </w:pPr>
      <w:r>
        <w:rPr>
          <w:rFonts w:hint="eastAsia" w:ascii="宋体" w:hAnsi="宋体" w:cs="宋体"/>
          <w:szCs w:val="21"/>
        </w:rPr>
        <w:t>计划开工日期：</w:t>
      </w:r>
      <w:r>
        <w:rPr>
          <w:rFonts w:hint="eastAsia" w:ascii="宋体" w:hAnsi="宋体" w:cs="宋体"/>
          <w:szCs w:val="21"/>
          <w:u w:val="single"/>
        </w:rPr>
        <w:t></w:t>
      </w:r>
      <w:r>
        <w:rPr>
          <w:rFonts w:hint="eastAsia" w:ascii="宋体" w:hAnsi="宋体" w:cs="宋体"/>
          <w:szCs w:val="21"/>
        </w:rPr>
        <w:t>年</w:t>
      </w:r>
      <w:r>
        <w:rPr>
          <w:rFonts w:hint="eastAsia" w:ascii="宋体" w:hAnsi="宋体" w:cs="宋体"/>
          <w:szCs w:val="21"/>
          <w:u w:val="single"/>
        </w:rPr>
        <w:t></w:t>
      </w:r>
      <w:r>
        <w:rPr>
          <w:rFonts w:hint="eastAsia" w:ascii="宋体" w:hAnsi="宋体" w:cs="宋体"/>
          <w:szCs w:val="21"/>
        </w:rPr>
        <w:t>月</w:t>
      </w:r>
      <w:r>
        <w:rPr>
          <w:rFonts w:hint="eastAsia" w:ascii="宋体" w:hAnsi="宋体" w:cs="宋体"/>
          <w:szCs w:val="21"/>
          <w:u w:val="single"/>
        </w:rPr>
        <w:t></w:t>
      </w:r>
      <w:r>
        <w:rPr>
          <w:rFonts w:hint="eastAsia" w:ascii="宋体" w:hAnsi="宋体" w:cs="宋体"/>
          <w:szCs w:val="21"/>
        </w:rPr>
        <w:t>日。</w:t>
      </w:r>
    </w:p>
    <w:p>
      <w:pPr>
        <w:ind w:firstLine="459"/>
        <w:rPr>
          <w:rFonts w:ascii="宋体" w:hAnsi="宋体" w:cs="宋体"/>
          <w:szCs w:val="21"/>
        </w:rPr>
      </w:pPr>
      <w:r>
        <w:rPr>
          <w:rFonts w:hint="eastAsia" w:ascii="宋体" w:hAnsi="宋体" w:cs="宋体"/>
          <w:szCs w:val="21"/>
        </w:rPr>
        <w:t>计划竣工日期：</w:t>
      </w:r>
      <w:r>
        <w:rPr>
          <w:rFonts w:hint="eastAsia" w:ascii="宋体" w:hAnsi="宋体" w:cs="宋体"/>
          <w:szCs w:val="21"/>
          <w:u w:val="single"/>
        </w:rPr>
        <w:t></w:t>
      </w:r>
      <w:r>
        <w:rPr>
          <w:rFonts w:hint="eastAsia" w:ascii="宋体" w:hAnsi="宋体" w:cs="宋体"/>
          <w:szCs w:val="21"/>
        </w:rPr>
        <w:t>年</w:t>
      </w:r>
      <w:r>
        <w:rPr>
          <w:rFonts w:hint="eastAsia" w:ascii="宋体" w:hAnsi="宋体" w:cs="宋体"/>
          <w:szCs w:val="21"/>
          <w:u w:val="single"/>
        </w:rPr>
        <w:t></w:t>
      </w:r>
      <w:r>
        <w:rPr>
          <w:rFonts w:hint="eastAsia" w:ascii="宋体" w:hAnsi="宋体" w:cs="宋体"/>
          <w:szCs w:val="21"/>
        </w:rPr>
        <w:t>月</w:t>
      </w:r>
      <w:r>
        <w:rPr>
          <w:rFonts w:hint="eastAsia" w:ascii="宋体" w:hAnsi="宋体" w:cs="宋体"/>
          <w:szCs w:val="21"/>
          <w:u w:val="single"/>
        </w:rPr>
        <w:t></w:t>
      </w:r>
      <w:r>
        <w:rPr>
          <w:rFonts w:hint="eastAsia" w:ascii="宋体" w:hAnsi="宋体" w:cs="宋体"/>
          <w:szCs w:val="21"/>
        </w:rPr>
        <w:t>日。</w:t>
      </w:r>
    </w:p>
    <w:p>
      <w:pPr>
        <w:ind w:firstLine="459"/>
        <w:rPr>
          <w:rFonts w:ascii="宋体" w:hAnsi="宋体" w:cs="宋体"/>
          <w:szCs w:val="21"/>
        </w:rPr>
      </w:pPr>
      <w:r>
        <w:rPr>
          <w:rFonts w:hint="eastAsia" w:ascii="宋体" w:hAnsi="宋体" w:cs="宋体"/>
          <w:szCs w:val="21"/>
        </w:rPr>
        <w:t>工期总日历天数：天。工期总日历天数与根据前述计划开竣工日期计算的工期天数不一致的，以工期总日历天数为准，</w:t>
      </w:r>
      <w:r>
        <w:rPr>
          <w:rFonts w:hint="eastAsia" w:ascii="宋体" w:hAnsi="宋体" w:cs="宋体"/>
          <w:spacing w:val="-2"/>
          <w:szCs w:val="21"/>
        </w:rPr>
        <w:t>实际开工日以开工令为准。</w:t>
      </w:r>
    </w:p>
    <w:p>
      <w:pPr>
        <w:rPr>
          <w:rFonts w:ascii="宋体" w:hAnsi="宋体" w:cs="宋体"/>
          <w:b/>
          <w:szCs w:val="21"/>
        </w:rPr>
      </w:pPr>
      <w:r>
        <w:rPr>
          <w:rFonts w:hint="eastAsia" w:ascii="宋体" w:hAnsi="宋体" w:cs="宋体"/>
          <w:b/>
          <w:szCs w:val="21"/>
        </w:rPr>
        <w:t>三、质量标准</w:t>
      </w:r>
    </w:p>
    <w:p>
      <w:pPr>
        <w:ind w:firstLine="420" w:firstLineChars="200"/>
        <w:rPr>
          <w:rFonts w:ascii="宋体" w:hAnsi="宋体" w:cs="宋体"/>
          <w:b/>
          <w:szCs w:val="21"/>
          <w:u w:val="single"/>
        </w:rPr>
      </w:pPr>
      <w:r>
        <w:rPr>
          <w:rFonts w:hint="eastAsia" w:ascii="宋体" w:hAnsi="宋体" w:cs="宋体"/>
          <w:szCs w:val="21"/>
        </w:rPr>
        <w:t>工程质量标准：</w:t>
      </w:r>
      <w:r>
        <w:rPr>
          <w:rFonts w:hint="eastAsia" w:ascii="宋体" w:hAnsi="宋体" w:cs="宋体"/>
          <w:bCs/>
          <w:szCs w:val="21"/>
        </w:rPr>
        <w:t>。</w:t>
      </w:r>
    </w:p>
    <w:p>
      <w:pPr>
        <w:rPr>
          <w:rFonts w:ascii="宋体" w:hAnsi="宋体" w:cs="宋体"/>
          <w:b/>
          <w:szCs w:val="21"/>
        </w:rPr>
      </w:pPr>
      <w:r>
        <w:rPr>
          <w:rFonts w:hint="eastAsia" w:ascii="宋体" w:hAnsi="宋体" w:cs="宋体"/>
          <w:b/>
          <w:szCs w:val="21"/>
        </w:rPr>
        <w:t>四、签约合同价与合同价格形式</w:t>
      </w:r>
    </w:p>
    <w:p>
      <w:pPr>
        <w:ind w:firstLine="420" w:firstLineChars="200"/>
        <w:rPr>
          <w:rFonts w:ascii="宋体" w:hAnsi="宋体" w:cs="宋体"/>
          <w:szCs w:val="21"/>
        </w:rPr>
      </w:pPr>
      <w:r>
        <w:rPr>
          <w:rFonts w:hint="eastAsia" w:ascii="宋体" w:hAnsi="宋体" w:cs="宋体"/>
          <w:szCs w:val="21"/>
        </w:rPr>
        <w:t>1.签约合同价为：</w:t>
      </w:r>
    </w:p>
    <w:p>
      <w:pPr>
        <w:ind w:firstLine="579" w:firstLineChars="276"/>
        <w:rPr>
          <w:rFonts w:ascii="宋体" w:hAnsi="宋体" w:cs="宋体"/>
          <w:b/>
          <w:szCs w:val="21"/>
          <w:u w:val="single"/>
        </w:rPr>
      </w:pPr>
      <w:r>
        <w:rPr>
          <w:rFonts w:hint="eastAsia" w:ascii="宋体" w:hAnsi="宋体" w:cs="宋体"/>
          <w:szCs w:val="21"/>
        </w:rPr>
        <w:t>人民币（大写）(¥元)；</w:t>
      </w:r>
    </w:p>
    <w:p>
      <w:pPr>
        <w:ind w:firstLine="420" w:firstLineChars="200"/>
        <w:rPr>
          <w:rFonts w:ascii="宋体" w:hAnsi="宋体" w:cs="宋体"/>
          <w:szCs w:val="21"/>
        </w:rPr>
      </w:pPr>
      <w:r>
        <w:rPr>
          <w:rFonts w:hint="eastAsia" w:ascii="宋体" w:hAnsi="宋体" w:cs="宋体"/>
          <w:szCs w:val="21"/>
        </w:rPr>
        <w:t>其中：</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szCs w:val="21"/>
        </w:rPr>
        <w:t>（1）绿色施工安全防护措施费：</w:t>
      </w:r>
    </w:p>
    <w:p>
      <w:pPr>
        <w:keepNext w:val="0"/>
        <w:keepLines w:val="0"/>
        <w:pageBreakBefore w:val="0"/>
        <w:widowControl w:val="0"/>
        <w:kinsoku/>
        <w:wordWrap/>
        <w:overflowPunct/>
        <w:topLinePunct w:val="0"/>
        <w:autoSpaceDE/>
        <w:autoSpaceDN/>
        <w:bidi w:val="0"/>
        <w:adjustRightInd/>
        <w:snapToGrid/>
        <w:ind w:firstLine="945" w:firstLineChars="450"/>
        <w:textAlignment w:val="auto"/>
        <w:rPr>
          <w:rFonts w:ascii="宋体" w:hAnsi="宋体" w:cs="宋体"/>
          <w:b/>
          <w:szCs w:val="21"/>
          <w:u w:val="single"/>
        </w:rPr>
      </w:pPr>
      <w:r>
        <w:rPr>
          <w:rFonts w:hint="eastAsia" w:ascii="宋体" w:hAnsi="宋体" w:cs="宋体"/>
          <w:szCs w:val="21"/>
        </w:rPr>
        <w:t>人民币（大写）(¥元)；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szCs w:val="21"/>
        </w:rPr>
        <w:t>（2）材料和工程设备暂估价金额：</w:t>
      </w:r>
    </w:p>
    <w:p>
      <w:pPr>
        <w:widowControl w:val="0"/>
        <w:ind w:firstLine="945" w:firstLineChars="450"/>
        <w:rPr>
          <w:rFonts w:ascii="宋体" w:hAnsi="宋体" w:cs="宋体"/>
          <w:szCs w:val="21"/>
        </w:rPr>
      </w:pPr>
      <w:r>
        <w:rPr>
          <w:rFonts w:hint="eastAsia" w:ascii="宋体" w:hAnsi="宋体" w:cs="宋体"/>
          <w:szCs w:val="21"/>
        </w:rPr>
        <w:t>人民币（大写）(¥元)；</w:t>
      </w:r>
    </w:p>
    <w:p>
      <w:pPr>
        <w:widowControl w:val="0"/>
        <w:ind w:firstLine="420" w:firstLineChars="200"/>
        <w:rPr>
          <w:rFonts w:ascii="宋体" w:hAnsi="宋体" w:cs="宋体"/>
          <w:szCs w:val="21"/>
        </w:rPr>
      </w:pPr>
      <w:r>
        <w:rPr>
          <w:rFonts w:hint="eastAsia" w:ascii="宋体" w:hAnsi="宋体" w:cs="宋体"/>
          <w:szCs w:val="21"/>
        </w:rPr>
        <w:t>（3）专业工程暂估价金额：</w:t>
      </w:r>
    </w:p>
    <w:p>
      <w:pPr>
        <w:widowControl w:val="0"/>
        <w:ind w:firstLine="945" w:firstLineChars="450"/>
        <w:rPr>
          <w:rFonts w:ascii="宋体" w:hAnsi="宋体" w:cs="宋体"/>
          <w:szCs w:val="21"/>
        </w:rPr>
      </w:pPr>
      <w:r>
        <w:rPr>
          <w:rFonts w:hint="eastAsia" w:ascii="宋体" w:hAnsi="宋体" w:cs="宋体"/>
          <w:szCs w:val="21"/>
        </w:rPr>
        <w:t>人民币（大写）(¥元)；</w:t>
      </w:r>
    </w:p>
    <w:p>
      <w:pPr>
        <w:widowControl w:val="0"/>
        <w:ind w:firstLine="420" w:firstLineChars="200"/>
        <w:rPr>
          <w:rFonts w:ascii="宋体" w:hAnsi="宋体" w:cs="宋体"/>
          <w:szCs w:val="21"/>
        </w:rPr>
      </w:pPr>
      <w:r>
        <w:rPr>
          <w:rFonts w:hint="eastAsia" w:ascii="宋体" w:hAnsi="宋体" w:cs="宋体"/>
          <w:szCs w:val="21"/>
        </w:rPr>
        <w:t>（4）暂列金额：</w:t>
      </w:r>
    </w:p>
    <w:p>
      <w:pPr>
        <w:widowControl w:val="0"/>
        <w:ind w:firstLine="945" w:firstLineChars="450"/>
        <w:rPr>
          <w:rFonts w:ascii="宋体" w:hAnsi="宋体" w:cs="宋体"/>
          <w:b/>
          <w:szCs w:val="21"/>
          <w:u w:val="single"/>
        </w:rPr>
      </w:pPr>
      <w:r>
        <w:rPr>
          <w:rFonts w:hint="eastAsia" w:ascii="宋体" w:hAnsi="宋体" w:cs="宋体"/>
          <w:szCs w:val="21"/>
        </w:rPr>
        <w:t>人民币（大写）(¥元)</w:t>
      </w:r>
      <w:r>
        <w:rPr>
          <w:rFonts w:hint="eastAsia" w:ascii="宋体" w:hAnsi="宋体" w:cs="宋体"/>
          <w:bCs/>
          <w:szCs w:val="21"/>
        </w:rPr>
        <w:t>。</w:t>
      </w:r>
    </w:p>
    <w:p>
      <w:pPr>
        <w:widowControl w:val="0"/>
        <w:ind w:firstLine="420" w:firstLineChars="200"/>
        <w:rPr>
          <w:rFonts w:ascii="宋体" w:hAnsi="宋体" w:cs="宋体"/>
          <w:b/>
          <w:szCs w:val="21"/>
          <w:u w:val="single"/>
        </w:rPr>
      </w:pPr>
      <w:r>
        <w:rPr>
          <w:rFonts w:hint="eastAsia" w:ascii="宋体" w:hAnsi="宋体" w:cs="宋体"/>
          <w:szCs w:val="21"/>
        </w:rPr>
        <w:t>2.合同价格形式：</w:t>
      </w:r>
      <w:r>
        <w:rPr>
          <w:rFonts w:hint="eastAsia" w:ascii="宋体" w:hAnsi="宋体" w:cs="宋体"/>
          <w:b/>
          <w:szCs w:val="21"/>
          <w:u w:val="single"/>
        </w:rPr>
        <w:t>固定单价合同，包工包料。</w:t>
      </w:r>
    </w:p>
    <w:p>
      <w:pPr>
        <w:widowControl w:val="0"/>
        <w:ind w:firstLine="422" w:firstLineChars="200"/>
        <w:rPr>
          <w:rFonts w:ascii="宋体" w:hAnsi="宋体" w:cs="宋体"/>
          <w:b/>
          <w:szCs w:val="21"/>
          <w:u w:val="single"/>
        </w:rPr>
      </w:pPr>
      <w:r>
        <w:rPr>
          <w:rFonts w:hint="eastAsia" w:ascii="宋体" w:hAnsi="宋体" w:cs="宋体"/>
          <w:b/>
          <w:szCs w:val="21"/>
          <w:u w:val="single"/>
        </w:rPr>
        <w:t>本工程按中标价实行限额支付，即发包人最高支付合同金额不超过中标价（政府或相关部门明确调整合同价款除外），超出支付限额的所有费用由承包人自行承担。</w:t>
      </w:r>
    </w:p>
    <w:p>
      <w:pPr>
        <w:widowControl w:val="0"/>
        <w:ind w:firstLine="422" w:firstLineChars="200"/>
        <w:rPr>
          <w:rFonts w:ascii="宋体" w:hAnsi="宋体" w:cs="宋体"/>
          <w:b/>
          <w:szCs w:val="21"/>
          <w:u w:val="single"/>
        </w:rPr>
      </w:pPr>
      <w:r>
        <w:rPr>
          <w:rFonts w:hint="eastAsia" w:ascii="宋体" w:hAnsi="宋体" w:cs="宋体"/>
          <w:b/>
          <w:szCs w:val="21"/>
          <w:u w:val="single"/>
        </w:rPr>
        <w:t>项目竣工结算、决算以第三方审核单位审核结果作为项目结算、决算依据。项目应接受审计监督，如项目被列入审计项目，则以市审计局最终审计结果为准，承包人必须无条件落实整改。</w:t>
      </w:r>
    </w:p>
    <w:p>
      <w:pPr>
        <w:widowControl w:val="0"/>
        <w:rPr>
          <w:rFonts w:ascii="宋体" w:hAnsi="宋体" w:cs="宋体"/>
          <w:b/>
          <w:szCs w:val="21"/>
        </w:rPr>
      </w:pPr>
      <w:r>
        <w:rPr>
          <w:rFonts w:hint="eastAsia" w:ascii="宋体" w:hAnsi="宋体" w:cs="宋体"/>
          <w:b/>
          <w:szCs w:val="21"/>
        </w:rPr>
        <w:t>五、项目经理</w:t>
      </w:r>
    </w:p>
    <w:p>
      <w:pPr>
        <w:widowControl w:val="0"/>
        <w:adjustRightInd w:val="0"/>
        <w:snapToGrid w:val="0"/>
        <w:ind w:firstLine="415" w:firstLineChars="198"/>
        <w:rPr>
          <w:rFonts w:ascii="宋体" w:hAnsi="宋体" w:cs="宋体"/>
          <w:szCs w:val="21"/>
        </w:rPr>
      </w:pPr>
      <w:r>
        <w:rPr>
          <w:rFonts w:hint="eastAsia" w:ascii="宋体" w:hAnsi="宋体" w:cs="宋体"/>
          <w:szCs w:val="21"/>
        </w:rPr>
        <w:t>项目经理姓名：，电话号码：</w:t>
      </w:r>
      <w:r>
        <w:rPr>
          <w:rFonts w:hint="eastAsia" w:ascii="宋体" w:hAnsi="宋体" w:cs="宋体"/>
          <w:szCs w:val="21"/>
          <w:lang w:eastAsia="zh-CN"/>
        </w:rPr>
        <w:t>，</w:t>
      </w:r>
      <w:r>
        <w:rPr>
          <w:rFonts w:hint="eastAsia" w:ascii="宋体" w:hAnsi="宋体" w:cs="宋体"/>
          <w:szCs w:val="21"/>
        </w:rPr>
        <w:t>建造师注册证书号：。</w:t>
      </w:r>
    </w:p>
    <w:p>
      <w:pPr>
        <w:widowControl w:val="0"/>
        <w:rPr>
          <w:rFonts w:ascii="宋体" w:hAnsi="宋体" w:cs="宋体"/>
          <w:b/>
          <w:szCs w:val="21"/>
        </w:rPr>
      </w:pPr>
      <w:r>
        <w:rPr>
          <w:rFonts w:hint="eastAsia" w:ascii="宋体" w:hAnsi="宋体" w:cs="宋体"/>
          <w:b/>
          <w:szCs w:val="21"/>
        </w:rPr>
        <w:t>六、合同文件构成</w:t>
      </w:r>
    </w:p>
    <w:p>
      <w:pPr>
        <w:widowControl w:val="0"/>
        <w:ind w:firstLine="420" w:firstLineChars="200"/>
        <w:rPr>
          <w:rFonts w:ascii="宋体" w:hAnsi="宋体" w:cs="宋体"/>
          <w:szCs w:val="21"/>
        </w:rPr>
      </w:pPr>
      <w:r>
        <w:rPr>
          <w:rFonts w:hint="eastAsia" w:ascii="宋体" w:hAnsi="宋体" w:cs="宋体"/>
          <w:szCs w:val="21"/>
        </w:rPr>
        <w:t>本协议书与下列文件一起构成合同文件：</w:t>
      </w:r>
    </w:p>
    <w:p>
      <w:pPr>
        <w:widowControl w:val="0"/>
        <w:autoSpaceDE w:val="0"/>
        <w:autoSpaceDN w:val="0"/>
        <w:adjustRightInd w:val="0"/>
        <w:ind w:firstLine="420" w:firstLineChars="200"/>
        <w:jc w:val="left"/>
        <w:rPr>
          <w:rFonts w:ascii="宋体" w:hAnsi="宋体" w:cs="宋体"/>
          <w:szCs w:val="21"/>
        </w:rPr>
      </w:pPr>
      <w:r>
        <w:rPr>
          <w:rFonts w:hint="eastAsia" w:ascii="宋体" w:hAnsi="宋体" w:cs="宋体"/>
          <w:szCs w:val="21"/>
        </w:rPr>
        <w:t>（1）中标通知书（如果有）；</w:t>
      </w:r>
    </w:p>
    <w:p>
      <w:pPr>
        <w:widowControl w:val="0"/>
        <w:autoSpaceDE w:val="0"/>
        <w:autoSpaceDN w:val="0"/>
        <w:adjustRightInd w:val="0"/>
        <w:ind w:firstLine="420" w:firstLineChars="200"/>
        <w:jc w:val="left"/>
        <w:rPr>
          <w:rFonts w:ascii="宋体" w:hAnsi="宋体" w:cs="宋体"/>
          <w:szCs w:val="21"/>
        </w:rPr>
      </w:pPr>
      <w:r>
        <w:rPr>
          <w:rFonts w:hint="eastAsia" w:ascii="宋体" w:hAnsi="宋体" w:cs="宋体"/>
          <w:szCs w:val="21"/>
        </w:rPr>
        <w:t>（2）投标函及其附录（如果有）；</w:t>
      </w:r>
    </w:p>
    <w:p>
      <w:pPr>
        <w:widowControl w:val="0"/>
        <w:autoSpaceDE w:val="0"/>
        <w:autoSpaceDN w:val="0"/>
        <w:adjustRightInd w:val="0"/>
        <w:ind w:firstLine="420" w:firstLineChars="200"/>
        <w:jc w:val="left"/>
        <w:rPr>
          <w:rFonts w:ascii="宋体" w:hAnsi="宋体" w:cs="宋体"/>
          <w:szCs w:val="21"/>
        </w:rPr>
      </w:pPr>
      <w:r>
        <w:rPr>
          <w:rFonts w:hint="eastAsia" w:ascii="宋体" w:hAnsi="宋体" w:cs="宋体"/>
          <w:szCs w:val="21"/>
        </w:rPr>
        <w:t>（3）专用合同条款及其附件；</w:t>
      </w:r>
    </w:p>
    <w:p>
      <w:pPr>
        <w:widowControl w:val="0"/>
        <w:autoSpaceDE w:val="0"/>
        <w:autoSpaceDN w:val="0"/>
        <w:adjustRightInd w:val="0"/>
        <w:ind w:firstLine="420" w:firstLineChars="200"/>
        <w:jc w:val="left"/>
        <w:rPr>
          <w:rFonts w:ascii="宋体" w:hAnsi="宋体" w:cs="宋体"/>
          <w:szCs w:val="21"/>
        </w:rPr>
      </w:pPr>
      <w:r>
        <w:rPr>
          <w:rFonts w:hint="eastAsia" w:ascii="宋体" w:hAnsi="宋体" w:cs="宋体"/>
          <w:szCs w:val="21"/>
        </w:rPr>
        <w:t>（4）通用合同条款；</w:t>
      </w:r>
    </w:p>
    <w:p>
      <w:pPr>
        <w:widowControl w:val="0"/>
        <w:autoSpaceDE w:val="0"/>
        <w:autoSpaceDN w:val="0"/>
        <w:adjustRightInd w:val="0"/>
        <w:ind w:firstLine="420" w:firstLineChars="200"/>
        <w:jc w:val="left"/>
        <w:rPr>
          <w:rFonts w:ascii="宋体" w:hAnsi="宋体" w:cs="宋体"/>
          <w:szCs w:val="21"/>
        </w:rPr>
      </w:pPr>
      <w:r>
        <w:rPr>
          <w:rFonts w:hint="eastAsia" w:ascii="宋体" w:hAnsi="宋体" w:cs="宋体"/>
          <w:szCs w:val="21"/>
        </w:rPr>
        <w:t>（5）技术标准和要求；</w:t>
      </w:r>
    </w:p>
    <w:p>
      <w:pPr>
        <w:widowControl w:val="0"/>
        <w:autoSpaceDE w:val="0"/>
        <w:autoSpaceDN w:val="0"/>
        <w:adjustRightInd w:val="0"/>
        <w:ind w:firstLine="420" w:firstLineChars="200"/>
        <w:jc w:val="left"/>
        <w:rPr>
          <w:rFonts w:ascii="宋体" w:hAnsi="宋体" w:cs="宋体"/>
          <w:szCs w:val="21"/>
        </w:rPr>
      </w:pPr>
      <w:r>
        <w:rPr>
          <w:rFonts w:hint="eastAsia" w:ascii="宋体" w:hAnsi="宋体" w:cs="宋体"/>
          <w:szCs w:val="21"/>
        </w:rPr>
        <w:t>（6）图纸；</w:t>
      </w:r>
    </w:p>
    <w:p>
      <w:pPr>
        <w:widowControl w:val="0"/>
        <w:autoSpaceDE w:val="0"/>
        <w:autoSpaceDN w:val="0"/>
        <w:adjustRightInd w:val="0"/>
        <w:ind w:firstLine="420" w:firstLineChars="200"/>
        <w:jc w:val="left"/>
        <w:rPr>
          <w:rFonts w:ascii="宋体" w:hAnsi="宋体" w:cs="宋体"/>
          <w:szCs w:val="21"/>
        </w:rPr>
      </w:pPr>
      <w:r>
        <w:rPr>
          <w:rFonts w:hint="eastAsia" w:ascii="宋体" w:hAnsi="宋体" w:cs="宋体"/>
          <w:szCs w:val="21"/>
        </w:rPr>
        <w:t>（7）已标价工程量清单或预算书；</w:t>
      </w:r>
    </w:p>
    <w:p>
      <w:pPr>
        <w:widowControl w:val="0"/>
        <w:autoSpaceDE w:val="0"/>
        <w:autoSpaceDN w:val="0"/>
        <w:adjustRightInd w:val="0"/>
        <w:ind w:firstLine="420" w:firstLineChars="200"/>
        <w:jc w:val="left"/>
        <w:rPr>
          <w:rFonts w:ascii="宋体" w:hAnsi="宋体" w:cs="宋体"/>
          <w:szCs w:val="21"/>
        </w:rPr>
      </w:pPr>
      <w:r>
        <w:rPr>
          <w:rFonts w:hint="eastAsia" w:ascii="宋体" w:hAnsi="宋体" w:cs="宋体"/>
          <w:szCs w:val="21"/>
        </w:rPr>
        <w:t>（8）其他合同文件和发包人制定的相关管理办法。</w:t>
      </w:r>
    </w:p>
    <w:p>
      <w:pPr>
        <w:widowControl w:val="0"/>
        <w:autoSpaceDE w:val="0"/>
        <w:autoSpaceDN w:val="0"/>
        <w:adjustRightInd w:val="0"/>
        <w:ind w:firstLine="420" w:firstLineChars="200"/>
        <w:jc w:val="left"/>
        <w:rPr>
          <w:rFonts w:ascii="宋体" w:hAnsi="宋体" w:cs="宋体"/>
          <w:szCs w:val="21"/>
        </w:rPr>
      </w:pPr>
      <w:r>
        <w:rPr>
          <w:rFonts w:hint="eastAsia" w:ascii="宋体" w:hAnsi="宋体" w:cs="宋体"/>
          <w:szCs w:val="21"/>
        </w:rPr>
        <w:t>在合同订立及履行过程中形成的与合同有关的文件均构成合同文件组成部分。</w:t>
      </w:r>
    </w:p>
    <w:p>
      <w:pPr>
        <w:widowControl w:val="0"/>
        <w:autoSpaceDE w:val="0"/>
        <w:autoSpaceDN w:val="0"/>
        <w:adjustRightInd w:val="0"/>
        <w:ind w:firstLine="420" w:firstLineChars="200"/>
        <w:jc w:val="left"/>
        <w:rPr>
          <w:rFonts w:ascii="宋体" w:hAnsi="宋体" w:cs="宋体"/>
          <w:szCs w:val="21"/>
        </w:rPr>
      </w:pPr>
      <w:r>
        <w:rPr>
          <w:rFonts w:hint="eastAsia" w:ascii="宋体" w:hAnsi="宋体" w:cs="宋体"/>
          <w:szCs w:val="21"/>
        </w:rPr>
        <w:t>上述各项合同文件包括合同当事人就该项合同文件所作出的补充和修改，属于同一类内容的文件，应以最新签署的为准。专用合同条款及其附件须经合同当事人签字或盖章。</w:t>
      </w:r>
    </w:p>
    <w:p>
      <w:pPr>
        <w:widowControl w:val="0"/>
        <w:rPr>
          <w:rFonts w:ascii="宋体" w:hAnsi="宋体" w:cs="宋体"/>
          <w:b/>
          <w:szCs w:val="21"/>
        </w:rPr>
      </w:pPr>
      <w:r>
        <w:rPr>
          <w:rFonts w:hint="eastAsia" w:ascii="宋体" w:hAnsi="宋体" w:cs="宋体"/>
          <w:b/>
          <w:szCs w:val="21"/>
        </w:rPr>
        <w:t>七、承诺</w:t>
      </w:r>
    </w:p>
    <w:p>
      <w:pPr>
        <w:widowControl w:val="0"/>
        <w:ind w:firstLine="420" w:firstLineChars="200"/>
        <w:rPr>
          <w:rFonts w:ascii="宋体" w:hAnsi="宋体" w:cs="宋体"/>
          <w:szCs w:val="21"/>
        </w:rPr>
      </w:pPr>
      <w:r>
        <w:rPr>
          <w:rFonts w:hint="eastAsia" w:ascii="宋体" w:hAnsi="宋体" w:cs="宋体"/>
          <w:szCs w:val="21"/>
        </w:rPr>
        <w:t>1.发包人承诺按照法律规定履行项目审批手续、筹集工程建设资金并按照合同约定的期限和方式支付合同价款。</w:t>
      </w:r>
    </w:p>
    <w:p>
      <w:pPr>
        <w:widowControl w:val="0"/>
        <w:ind w:firstLine="420" w:firstLineChars="200"/>
        <w:rPr>
          <w:rFonts w:ascii="宋体" w:hAnsi="宋体" w:cs="宋体"/>
          <w:szCs w:val="21"/>
        </w:rPr>
      </w:pPr>
      <w:r>
        <w:rPr>
          <w:rFonts w:hint="eastAsia" w:ascii="宋体" w:hAnsi="宋体" w:cs="宋体"/>
          <w:szCs w:val="21"/>
        </w:rPr>
        <w:t>2.承包人承诺按照法律规定及合同约定组织完成工程施工，确保工程质量和安全，不进行转包及违法分包，并在缺陷责任期及保修期内承担相应的工程维修责任。</w:t>
      </w:r>
    </w:p>
    <w:p>
      <w:pPr>
        <w:ind w:firstLine="420" w:firstLineChars="200"/>
        <w:rPr>
          <w:rFonts w:ascii="宋体" w:hAnsi="宋体" w:cs="宋体"/>
          <w:szCs w:val="21"/>
        </w:rPr>
      </w:pPr>
      <w:r>
        <w:rPr>
          <w:rFonts w:hint="eastAsia" w:ascii="宋体" w:hAnsi="宋体" w:cs="宋体"/>
          <w:szCs w:val="21"/>
        </w:rPr>
        <w:t>3.发包人和承包人通过招投标形式签订合同的，双方理解并承诺不再就同一工程另行签订与合同实质性内容相背离的协议。</w:t>
      </w:r>
    </w:p>
    <w:p>
      <w:pPr>
        <w:rPr>
          <w:rFonts w:ascii="宋体" w:hAnsi="宋体" w:cs="宋体"/>
          <w:b/>
          <w:szCs w:val="21"/>
        </w:rPr>
      </w:pPr>
      <w:r>
        <w:rPr>
          <w:rFonts w:hint="eastAsia" w:ascii="宋体" w:hAnsi="宋体" w:cs="宋体"/>
          <w:b/>
          <w:szCs w:val="21"/>
        </w:rPr>
        <w:t>八、词语含义</w:t>
      </w:r>
    </w:p>
    <w:p>
      <w:pPr>
        <w:ind w:firstLine="420" w:firstLineChars="200"/>
        <w:rPr>
          <w:rFonts w:ascii="宋体" w:hAnsi="宋体" w:cs="宋体"/>
          <w:szCs w:val="21"/>
        </w:rPr>
      </w:pPr>
      <w:r>
        <w:rPr>
          <w:rFonts w:hint="eastAsia" w:ascii="宋体" w:hAnsi="宋体" w:cs="宋体"/>
          <w:szCs w:val="21"/>
        </w:rPr>
        <w:t>本协议书中词语含义与第二部分通用合同条款中赋予的含义相同。</w:t>
      </w:r>
    </w:p>
    <w:p>
      <w:pPr>
        <w:rPr>
          <w:rFonts w:ascii="宋体" w:hAnsi="宋体" w:cs="宋体"/>
          <w:b/>
          <w:szCs w:val="21"/>
        </w:rPr>
      </w:pPr>
      <w:r>
        <w:rPr>
          <w:rFonts w:hint="eastAsia" w:ascii="宋体" w:hAnsi="宋体" w:cs="宋体"/>
          <w:b/>
          <w:szCs w:val="21"/>
        </w:rPr>
        <w:t>九、补充协议</w:t>
      </w:r>
    </w:p>
    <w:p>
      <w:pPr>
        <w:ind w:firstLine="420" w:firstLineChars="200"/>
        <w:rPr>
          <w:rFonts w:ascii="宋体" w:hAnsi="宋体" w:cs="宋体"/>
          <w:b/>
          <w:szCs w:val="21"/>
        </w:rPr>
      </w:pPr>
      <w:r>
        <w:rPr>
          <w:rFonts w:hint="eastAsia" w:ascii="宋体" w:hAnsi="宋体" w:cs="宋体"/>
          <w:szCs w:val="21"/>
        </w:rPr>
        <w:t>合同未尽事宜，合同当事人另行签订补充协议，补充协议是合同的组成部分。</w:t>
      </w:r>
    </w:p>
    <w:p>
      <w:pPr>
        <w:rPr>
          <w:rFonts w:ascii="宋体" w:hAnsi="宋体" w:cs="宋体"/>
          <w:b/>
          <w:szCs w:val="21"/>
        </w:rPr>
      </w:pPr>
      <w:r>
        <w:rPr>
          <w:rFonts w:hint="eastAsia" w:ascii="宋体" w:hAnsi="宋体" w:cs="宋体"/>
          <w:b/>
          <w:szCs w:val="21"/>
        </w:rPr>
        <w:t>十、签订时间、签订地点、合同份数、合同生效</w:t>
      </w:r>
    </w:p>
    <w:p>
      <w:pPr>
        <w:ind w:firstLine="420" w:firstLineChars="200"/>
        <w:rPr>
          <w:rFonts w:ascii="宋体" w:hAnsi="宋体" w:cs="宋体"/>
          <w:szCs w:val="21"/>
        </w:rPr>
      </w:pPr>
      <w:r>
        <w:rPr>
          <w:rFonts w:hint="eastAsia" w:ascii="宋体" w:hAnsi="宋体" w:cs="宋体"/>
          <w:szCs w:val="21"/>
        </w:rPr>
        <w:t>1、本合同于年月日签订。</w:t>
      </w:r>
    </w:p>
    <w:p>
      <w:pPr>
        <w:ind w:firstLine="420" w:firstLineChars="200"/>
        <w:rPr>
          <w:rFonts w:ascii="宋体" w:hAnsi="宋体" w:cs="宋体"/>
          <w:szCs w:val="21"/>
        </w:rPr>
      </w:pPr>
      <w:r>
        <w:rPr>
          <w:rFonts w:hint="eastAsia" w:ascii="宋体" w:hAnsi="宋体" w:cs="宋体"/>
          <w:szCs w:val="21"/>
        </w:rPr>
        <w:t>2、本合同在签订。</w:t>
      </w:r>
    </w:p>
    <w:p>
      <w:pPr>
        <w:ind w:firstLine="420" w:firstLineChars="200"/>
        <w:rPr>
          <w:rFonts w:ascii="宋体" w:hAnsi="宋体" w:cs="宋体"/>
          <w:szCs w:val="21"/>
        </w:rPr>
      </w:pPr>
      <w:r>
        <w:rPr>
          <w:rFonts w:hint="eastAsia" w:ascii="宋体" w:hAnsi="宋体" w:cs="宋体"/>
          <w:szCs w:val="21"/>
        </w:rPr>
        <w:t>3、本合同一式</w:t>
      </w:r>
      <w:r>
        <w:rPr>
          <w:rFonts w:hint="eastAsia" w:ascii="宋体" w:hAnsi="宋体" w:cs="宋体"/>
          <w:b/>
          <w:szCs w:val="21"/>
          <w:u w:val="single"/>
        </w:rPr>
        <w:t>拾</w:t>
      </w:r>
      <w:r>
        <w:rPr>
          <w:rFonts w:hint="eastAsia" w:ascii="宋体" w:hAnsi="宋体" w:cs="宋体"/>
          <w:szCs w:val="21"/>
        </w:rPr>
        <w:t>份，均具有同等法律效力，发包人执</w:t>
      </w:r>
      <w:r>
        <w:rPr>
          <w:rFonts w:hint="eastAsia" w:ascii="宋体" w:hAnsi="宋体" w:cs="宋体"/>
          <w:b/>
          <w:szCs w:val="21"/>
          <w:u w:val="single"/>
        </w:rPr>
        <w:t>伍</w:t>
      </w:r>
      <w:r>
        <w:rPr>
          <w:rFonts w:hint="eastAsia" w:ascii="宋体" w:hAnsi="宋体" w:cs="宋体"/>
          <w:szCs w:val="21"/>
        </w:rPr>
        <w:t>份，承包人执</w:t>
      </w:r>
      <w:r>
        <w:rPr>
          <w:rFonts w:hint="eastAsia" w:ascii="宋体" w:hAnsi="宋体" w:cs="宋体"/>
          <w:b/>
          <w:szCs w:val="21"/>
          <w:u w:val="single"/>
        </w:rPr>
        <w:t>伍</w:t>
      </w:r>
      <w:r>
        <w:rPr>
          <w:rFonts w:hint="eastAsia" w:ascii="宋体" w:hAnsi="宋体" w:cs="宋体"/>
          <w:szCs w:val="21"/>
        </w:rPr>
        <w:t>份。</w:t>
      </w:r>
    </w:p>
    <w:p>
      <w:pPr>
        <w:ind w:firstLine="420" w:firstLineChars="200"/>
        <w:rPr>
          <w:rFonts w:ascii="宋体" w:hAnsi="宋体" w:cs="宋体"/>
          <w:sz w:val="24"/>
        </w:rPr>
      </w:pPr>
      <w:r>
        <w:rPr>
          <w:rFonts w:hint="eastAsia" w:ascii="宋体" w:hAnsi="宋体" w:cs="宋体"/>
          <w:szCs w:val="21"/>
        </w:rPr>
        <w:t>4、发包人承包人约定本合同自双方签字盖章之日起即时生效。</w:t>
      </w:r>
    </w:p>
    <w:p>
      <w:pPr>
        <w:spacing w:line="600" w:lineRule="exact"/>
        <w:ind w:left="525"/>
        <w:rPr>
          <w:rFonts w:ascii="宋体" w:hAnsi="宋体" w:cs="宋体"/>
          <w:sz w:val="24"/>
        </w:rPr>
      </w:pPr>
    </w:p>
    <w:tbl>
      <w:tblPr>
        <w:tblStyle w:val="5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trPr>
        <w:tc>
          <w:tcPr>
            <w:tcW w:w="4261" w:type="dxa"/>
          </w:tcPr>
          <w:p>
            <w:pPr>
              <w:widowControl w:val="0"/>
              <w:adjustRightInd w:val="0"/>
              <w:snapToGrid w:val="0"/>
              <w:spacing w:line="480" w:lineRule="auto"/>
              <w:rPr>
                <w:rFonts w:ascii="宋体" w:hAnsi="宋体" w:cs="宋体"/>
                <w:szCs w:val="21"/>
              </w:rPr>
            </w:pPr>
            <w:bookmarkStart w:id="89" w:name="_Toc531184898"/>
            <w:bookmarkStart w:id="90" w:name="_Toc531184868"/>
            <w:r>
              <w:rPr>
                <w:rFonts w:hint="eastAsia" w:ascii="宋体" w:hAnsi="宋体" w:cs="宋体"/>
                <w:szCs w:val="21"/>
              </w:rPr>
              <w:t>发包人：茂名市发展集团有限公司</w:t>
            </w:r>
            <w:r>
              <w:rPr>
                <w:rFonts w:hint="eastAsia" w:ascii="宋体" w:hAnsi="宋体" w:cs="宋体"/>
                <w:b w:val="0"/>
                <w:bCs/>
                <w:spacing w:val="-4"/>
                <w:szCs w:val="21"/>
              </w:rPr>
              <w:t>（盖章）</w:t>
            </w:r>
          </w:p>
        </w:tc>
        <w:tc>
          <w:tcPr>
            <w:tcW w:w="4261" w:type="dxa"/>
          </w:tcPr>
          <w:p>
            <w:pPr>
              <w:widowControl w:val="0"/>
              <w:adjustRightInd w:val="0"/>
              <w:snapToGrid w:val="0"/>
              <w:spacing w:line="480" w:lineRule="auto"/>
              <w:rPr>
                <w:rFonts w:ascii="宋体" w:hAnsi="宋体" w:cs="宋体"/>
                <w:szCs w:val="21"/>
              </w:rPr>
            </w:pPr>
            <w:r>
              <w:rPr>
                <w:rFonts w:hint="eastAsia" w:ascii="宋体" w:hAnsi="宋体" w:cs="宋体"/>
                <w:szCs w:val="21"/>
              </w:rPr>
              <w:t>承包人：（盖章）</w:t>
            </w:r>
          </w:p>
          <w:p>
            <w:pPr>
              <w:widowControl w:val="0"/>
              <w:adjustRightInd w:val="0"/>
              <w:snapToGrid w:val="0"/>
              <w:spacing w:line="480" w:lineRule="auto"/>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widowControl w:val="0"/>
              <w:adjustRightInd w:val="0"/>
              <w:snapToGrid w:val="0"/>
              <w:spacing w:line="480" w:lineRule="auto"/>
              <w:rPr>
                <w:rFonts w:ascii="宋体" w:hAnsi="宋体" w:cs="宋体"/>
                <w:szCs w:val="21"/>
              </w:rPr>
            </w:pPr>
            <w:r>
              <w:rPr>
                <w:rFonts w:hint="eastAsia" w:ascii="宋体" w:hAnsi="宋体" w:cs="宋体"/>
                <w:szCs w:val="21"/>
              </w:rPr>
              <w:t>地址：</w:t>
            </w:r>
          </w:p>
        </w:tc>
        <w:tc>
          <w:tcPr>
            <w:tcW w:w="4261" w:type="dxa"/>
          </w:tcPr>
          <w:p>
            <w:pPr>
              <w:widowControl w:val="0"/>
              <w:adjustRightInd w:val="0"/>
              <w:snapToGrid w:val="0"/>
              <w:spacing w:line="480" w:lineRule="auto"/>
              <w:rPr>
                <w:rFonts w:ascii="宋体" w:hAnsi="宋体" w:cs="宋体"/>
                <w:szCs w:val="21"/>
              </w:rPr>
            </w:pPr>
            <w:r>
              <w:rPr>
                <w:rFonts w:hint="eastAsia" w:ascii="宋体" w:hAnsi="宋体" w:cs="宋体"/>
                <w:szCs w:val="21"/>
              </w:rPr>
              <w:t>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widowControl w:val="0"/>
              <w:autoSpaceDE w:val="0"/>
              <w:autoSpaceDN w:val="0"/>
              <w:adjustRightInd w:val="0"/>
              <w:spacing w:line="480" w:lineRule="auto"/>
              <w:jc w:val="left"/>
              <w:rPr>
                <w:rFonts w:ascii="宋体" w:hAnsi="宋体" w:cs="宋体"/>
                <w:szCs w:val="21"/>
              </w:rPr>
            </w:pPr>
            <w:r>
              <w:rPr>
                <w:rFonts w:hint="eastAsia" w:ascii="宋体" w:hAnsi="宋体" w:cs="宋体"/>
                <w:szCs w:val="21"/>
              </w:rPr>
              <w:t>法定代表人</w:t>
            </w:r>
          </w:p>
          <w:p>
            <w:pPr>
              <w:widowControl w:val="0"/>
              <w:autoSpaceDE w:val="0"/>
              <w:autoSpaceDN w:val="0"/>
              <w:adjustRightInd w:val="0"/>
              <w:spacing w:line="480" w:lineRule="auto"/>
              <w:jc w:val="left"/>
              <w:rPr>
                <w:rFonts w:ascii="宋体" w:hAnsi="宋体" w:cs="宋体"/>
                <w:szCs w:val="21"/>
              </w:rPr>
            </w:pPr>
            <w:r>
              <w:rPr>
                <w:rFonts w:hint="eastAsia" w:ascii="宋体" w:hAnsi="宋体" w:cs="宋体"/>
                <w:szCs w:val="21"/>
              </w:rPr>
              <w:t>或其授权的代理人：</w:t>
            </w:r>
            <w:r>
              <w:rPr>
                <w:rFonts w:hint="eastAsia" w:ascii="宋体" w:hAnsi="宋体" w:cs="宋体"/>
                <w:szCs w:val="21"/>
                <w:u w:val="single"/>
              </w:rPr>
              <w:t>（签字或盖章）</w:t>
            </w:r>
          </w:p>
        </w:tc>
        <w:tc>
          <w:tcPr>
            <w:tcW w:w="4261" w:type="dxa"/>
          </w:tcPr>
          <w:p>
            <w:pPr>
              <w:widowControl w:val="0"/>
              <w:autoSpaceDE w:val="0"/>
              <w:autoSpaceDN w:val="0"/>
              <w:adjustRightInd w:val="0"/>
              <w:spacing w:line="480" w:lineRule="auto"/>
              <w:jc w:val="left"/>
              <w:rPr>
                <w:rFonts w:ascii="宋体" w:hAnsi="宋体" w:cs="宋体"/>
                <w:szCs w:val="21"/>
              </w:rPr>
            </w:pPr>
            <w:r>
              <w:rPr>
                <w:rFonts w:hint="eastAsia" w:ascii="宋体" w:hAnsi="宋体" w:cs="宋体"/>
                <w:szCs w:val="21"/>
              </w:rPr>
              <w:t>法定代表人</w:t>
            </w:r>
          </w:p>
          <w:p>
            <w:pPr>
              <w:widowControl w:val="0"/>
              <w:autoSpaceDE w:val="0"/>
              <w:autoSpaceDN w:val="0"/>
              <w:adjustRightInd w:val="0"/>
              <w:spacing w:line="480" w:lineRule="auto"/>
              <w:jc w:val="left"/>
              <w:rPr>
                <w:rFonts w:ascii="宋体" w:hAnsi="宋体" w:cs="宋体"/>
                <w:szCs w:val="21"/>
              </w:rPr>
            </w:pPr>
            <w:r>
              <w:rPr>
                <w:rFonts w:hint="eastAsia" w:ascii="宋体" w:hAnsi="宋体" w:cs="宋体"/>
                <w:szCs w:val="21"/>
              </w:rPr>
              <w:t>或其授权的代理人：</w:t>
            </w:r>
            <w:r>
              <w:rPr>
                <w:rFonts w:hint="eastAsia" w:ascii="宋体" w:hAnsi="宋体" w:cs="宋体"/>
                <w:szCs w:val="21"/>
                <w:u w:val="single"/>
              </w:rPr>
              <w:t>（签字或盖章）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widowControl w:val="0"/>
              <w:adjustRightInd w:val="0"/>
              <w:snapToGrid w:val="0"/>
              <w:spacing w:line="480" w:lineRule="auto"/>
              <w:rPr>
                <w:rFonts w:ascii="宋体" w:hAnsi="宋体" w:cs="宋体"/>
                <w:szCs w:val="21"/>
              </w:rPr>
            </w:pPr>
            <w:r>
              <w:rPr>
                <w:rFonts w:hint="eastAsia" w:ascii="宋体" w:hAnsi="宋体" w:cs="宋体"/>
                <w:szCs w:val="21"/>
              </w:rPr>
              <w:t>开户银行：</w:t>
            </w:r>
          </w:p>
        </w:tc>
        <w:tc>
          <w:tcPr>
            <w:tcW w:w="4261" w:type="dxa"/>
          </w:tcPr>
          <w:p>
            <w:pPr>
              <w:widowControl w:val="0"/>
              <w:adjustRightInd w:val="0"/>
              <w:snapToGrid w:val="0"/>
              <w:spacing w:line="480" w:lineRule="auto"/>
              <w:rPr>
                <w:rFonts w:ascii="宋体" w:hAnsi="宋体" w:cs="宋体"/>
                <w:szCs w:val="21"/>
              </w:rPr>
            </w:pPr>
            <w:r>
              <w:rPr>
                <w:rFonts w:hint="eastAsia" w:ascii="宋体" w:hAnsi="宋体" w:cs="宋体"/>
                <w:szCs w:val="21"/>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widowControl w:val="0"/>
              <w:adjustRightInd w:val="0"/>
              <w:snapToGrid w:val="0"/>
              <w:spacing w:line="480" w:lineRule="auto"/>
              <w:rPr>
                <w:rFonts w:ascii="宋体" w:hAnsi="宋体" w:cs="宋体"/>
                <w:szCs w:val="21"/>
              </w:rPr>
            </w:pPr>
            <w:r>
              <w:rPr>
                <w:rFonts w:hint="eastAsia" w:ascii="宋体" w:hAnsi="宋体" w:cs="宋体"/>
                <w:szCs w:val="21"/>
              </w:rPr>
              <w:t>帐号：</w:t>
            </w:r>
          </w:p>
        </w:tc>
        <w:tc>
          <w:tcPr>
            <w:tcW w:w="4261" w:type="dxa"/>
          </w:tcPr>
          <w:p>
            <w:pPr>
              <w:widowControl w:val="0"/>
              <w:adjustRightInd w:val="0"/>
              <w:snapToGrid w:val="0"/>
              <w:spacing w:line="480" w:lineRule="auto"/>
              <w:rPr>
                <w:rFonts w:ascii="宋体" w:hAnsi="宋体" w:cs="宋体"/>
                <w:szCs w:val="21"/>
              </w:rPr>
            </w:pPr>
            <w:r>
              <w:rPr>
                <w:rFonts w:hint="eastAsia" w:ascii="宋体" w:hAnsi="宋体" w:cs="宋体"/>
                <w:szCs w:val="21"/>
              </w:rPr>
              <w:t>帐号：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widowControl w:val="0"/>
              <w:adjustRightInd w:val="0"/>
              <w:snapToGrid w:val="0"/>
              <w:spacing w:line="480" w:lineRule="auto"/>
              <w:rPr>
                <w:rFonts w:ascii="宋体" w:hAnsi="宋体" w:cs="宋体"/>
                <w:szCs w:val="21"/>
              </w:rPr>
            </w:pPr>
            <w:r>
              <w:rPr>
                <w:rFonts w:hint="eastAsia" w:ascii="宋体" w:hAnsi="宋体" w:cs="宋体"/>
                <w:szCs w:val="21"/>
              </w:rPr>
              <w:t>邮政编码：</w:t>
            </w:r>
          </w:p>
        </w:tc>
        <w:tc>
          <w:tcPr>
            <w:tcW w:w="4261" w:type="dxa"/>
          </w:tcPr>
          <w:p>
            <w:pPr>
              <w:widowControl w:val="0"/>
              <w:adjustRightInd w:val="0"/>
              <w:snapToGrid w:val="0"/>
              <w:spacing w:line="480" w:lineRule="auto"/>
              <w:rPr>
                <w:rFonts w:ascii="宋体" w:hAnsi="宋体" w:cs="宋体"/>
                <w:szCs w:val="21"/>
              </w:rPr>
            </w:pPr>
            <w:r>
              <w:rPr>
                <w:rFonts w:hint="eastAsia" w:ascii="宋体" w:hAnsi="宋体" w:cs="宋体"/>
                <w:szCs w:val="21"/>
              </w:rPr>
              <w:t>邮政编码：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widowControl w:val="0"/>
              <w:adjustRightInd w:val="0"/>
              <w:snapToGrid w:val="0"/>
              <w:spacing w:line="480" w:lineRule="auto"/>
              <w:rPr>
                <w:rFonts w:ascii="宋体" w:hAnsi="宋体" w:cs="宋体"/>
                <w:szCs w:val="21"/>
              </w:rPr>
            </w:pPr>
            <w:r>
              <w:rPr>
                <w:rFonts w:hint="eastAsia" w:ascii="宋体" w:hAnsi="宋体" w:cs="宋体"/>
                <w:szCs w:val="21"/>
              </w:rPr>
              <w:t>联系电话：</w:t>
            </w:r>
          </w:p>
        </w:tc>
        <w:tc>
          <w:tcPr>
            <w:tcW w:w="4261" w:type="dxa"/>
          </w:tcPr>
          <w:p>
            <w:pPr>
              <w:widowControl w:val="0"/>
              <w:adjustRightInd w:val="0"/>
              <w:snapToGrid w:val="0"/>
              <w:spacing w:line="480" w:lineRule="auto"/>
              <w:rPr>
                <w:rFonts w:ascii="宋体" w:hAnsi="宋体" w:cs="宋体"/>
                <w:szCs w:val="21"/>
              </w:rPr>
            </w:pPr>
            <w:r>
              <w:rPr>
                <w:rFonts w:hint="eastAsia" w:ascii="宋体" w:hAnsi="宋体" w:cs="宋体"/>
                <w:szCs w:val="21"/>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widowControl w:val="0"/>
              <w:adjustRightInd w:val="0"/>
              <w:snapToGrid w:val="0"/>
              <w:spacing w:line="480" w:lineRule="auto"/>
              <w:rPr>
                <w:rFonts w:ascii="宋体" w:hAnsi="宋体" w:cs="宋体"/>
                <w:szCs w:val="21"/>
              </w:rPr>
            </w:pPr>
            <w:r>
              <w:rPr>
                <w:rFonts w:hint="eastAsia" w:ascii="宋体" w:hAnsi="宋体" w:cs="宋体"/>
                <w:szCs w:val="21"/>
              </w:rPr>
              <w:t>电子邮箱：</w:t>
            </w:r>
          </w:p>
        </w:tc>
        <w:tc>
          <w:tcPr>
            <w:tcW w:w="4261" w:type="dxa"/>
          </w:tcPr>
          <w:p>
            <w:pPr>
              <w:widowControl w:val="0"/>
              <w:adjustRightInd w:val="0"/>
              <w:snapToGrid w:val="0"/>
              <w:spacing w:line="480" w:lineRule="auto"/>
              <w:rPr>
                <w:rFonts w:ascii="宋体" w:hAnsi="宋体" w:cs="宋体"/>
                <w:szCs w:val="21"/>
              </w:rPr>
            </w:pPr>
            <w:r>
              <w:rPr>
                <w:rFonts w:hint="eastAsia" w:ascii="宋体" w:hAnsi="宋体" w:cs="宋体"/>
                <w:szCs w:val="21"/>
              </w:rPr>
              <w:t>电子邮箱：</w:t>
            </w:r>
          </w:p>
        </w:tc>
      </w:tr>
      <w:bookmarkEnd w:id="89"/>
      <w:bookmarkEnd w:id="90"/>
    </w:tbl>
    <w:p>
      <w:pPr>
        <w:pStyle w:val="5"/>
        <w:tabs>
          <w:tab w:val="left" w:pos="576"/>
        </w:tabs>
        <w:spacing w:before="156"/>
        <w:ind w:left="576" w:hanging="576"/>
        <w:jc w:val="center"/>
        <w:rPr>
          <w:rFonts w:ascii="宋体" w:hAnsi="宋体" w:cs="宋体"/>
          <w:bCs w:val="0"/>
          <w:sz w:val="32"/>
        </w:rPr>
      </w:pPr>
      <w:bookmarkStart w:id="91" w:name="_Toc351203494"/>
      <w:r>
        <w:rPr>
          <w:rFonts w:hint="eastAsia" w:ascii="宋体" w:hAnsi="宋体" w:cs="宋体"/>
          <w:sz w:val="32"/>
        </w:rPr>
        <w:br w:type="page"/>
      </w:r>
      <w:r>
        <w:rPr>
          <w:rFonts w:hint="eastAsia" w:ascii="宋体" w:hAnsi="宋体" w:cs="宋体"/>
          <w:bCs w:val="0"/>
          <w:sz w:val="32"/>
        </w:rPr>
        <w:t>第二部分 通用合同条款</w:t>
      </w:r>
      <w:bookmarkEnd w:id="91"/>
      <w:bookmarkStart w:id="92" w:name="_Toc337558727"/>
    </w:p>
    <w:p>
      <w:pPr>
        <w:widowControl w:val="0"/>
        <w:tabs>
          <w:tab w:val="left" w:pos="864"/>
        </w:tabs>
        <w:jc w:val="left"/>
        <w:outlineLvl w:val="3"/>
        <w:rPr>
          <w:rFonts w:ascii="宋体" w:hAnsi="宋体" w:cs="宋体"/>
          <w:kern w:val="0"/>
          <w:szCs w:val="21"/>
        </w:rPr>
      </w:pPr>
      <w:bookmarkStart w:id="93" w:name="_Toc351203495"/>
      <w:r>
        <w:rPr>
          <w:rFonts w:hint="eastAsia" w:ascii="宋体" w:hAnsi="宋体" w:cs="宋体"/>
          <w:kern w:val="0"/>
          <w:szCs w:val="21"/>
        </w:rPr>
        <w:t>1.</w:t>
      </w:r>
      <w:bookmarkStart w:id="94" w:name="_Toc303538972"/>
      <w:bookmarkEnd w:id="94"/>
      <w:bookmarkStart w:id="95" w:name="_Toc303538974"/>
      <w:bookmarkEnd w:id="95"/>
      <w:bookmarkStart w:id="96" w:name="_Toc303538973"/>
      <w:bookmarkEnd w:id="96"/>
      <w:bookmarkStart w:id="97" w:name="_Toc303538975"/>
      <w:bookmarkEnd w:id="97"/>
      <w:bookmarkStart w:id="98" w:name="_Toc303538976"/>
      <w:bookmarkEnd w:id="98"/>
      <w:bookmarkStart w:id="99" w:name="_Toc296503027"/>
      <w:bookmarkStart w:id="100" w:name="_Toc296346528"/>
      <w:r>
        <w:rPr>
          <w:rFonts w:hint="eastAsia" w:ascii="宋体" w:hAnsi="宋体" w:cs="宋体"/>
          <w:kern w:val="0"/>
          <w:szCs w:val="21"/>
        </w:rPr>
        <w:t>一般约定</w:t>
      </w:r>
      <w:bookmarkEnd w:id="92"/>
      <w:bookmarkEnd w:id="93"/>
      <w:bookmarkEnd w:id="99"/>
      <w:bookmarkEnd w:id="100"/>
    </w:p>
    <w:p>
      <w:pPr>
        <w:widowControl w:val="0"/>
        <w:tabs>
          <w:tab w:val="left" w:pos="1008"/>
        </w:tabs>
        <w:ind w:firstLine="420" w:firstLineChars="200"/>
        <w:jc w:val="left"/>
        <w:outlineLvl w:val="4"/>
        <w:rPr>
          <w:rFonts w:ascii="宋体" w:hAnsi="宋体" w:cs="宋体"/>
          <w:kern w:val="0"/>
          <w:szCs w:val="21"/>
        </w:rPr>
      </w:pPr>
      <w:bookmarkStart w:id="101" w:name="_Toc296503028"/>
      <w:bookmarkStart w:id="102" w:name="_Toc296346529"/>
      <w:bookmarkStart w:id="103" w:name="_Toc337558728"/>
      <w:bookmarkStart w:id="104" w:name="_Toc351203496"/>
      <w:r>
        <w:rPr>
          <w:rFonts w:hint="eastAsia" w:ascii="宋体" w:hAnsi="宋体" w:cs="宋体"/>
          <w:kern w:val="0"/>
          <w:szCs w:val="21"/>
        </w:rPr>
        <w:t>1.1词语定义</w:t>
      </w:r>
      <w:bookmarkEnd w:id="101"/>
      <w:bookmarkEnd w:id="102"/>
      <w:bookmarkEnd w:id="103"/>
      <w:r>
        <w:rPr>
          <w:rFonts w:hint="eastAsia" w:ascii="宋体" w:hAnsi="宋体" w:cs="宋体"/>
          <w:kern w:val="0"/>
          <w:szCs w:val="21"/>
        </w:rPr>
        <w:t>与解释</w:t>
      </w:r>
      <w:bookmarkEnd w:id="104"/>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合同协议书、通用合同条款、专用合同条款中的下列词语具有本款所赋予的含义：</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1.1.1 合同</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1.1.1.1 合同：是指根据法律规定和合同当事人约定具有约束力的文件，构成合同的文件包括合同协议书、中标通知书（如果有）、投标函及其附录（如果有）、专用合同条款</w:t>
      </w:r>
      <w:r>
        <w:rPr>
          <w:rFonts w:hint="eastAsia" w:ascii="宋体" w:hAnsi="宋体" w:cs="宋体"/>
          <w:szCs w:val="21"/>
        </w:rPr>
        <w:t>及其附件</w:t>
      </w:r>
      <w:r>
        <w:rPr>
          <w:rFonts w:hint="eastAsia" w:ascii="宋体" w:hAnsi="宋体" w:cs="宋体"/>
          <w:kern w:val="0"/>
          <w:szCs w:val="21"/>
        </w:rPr>
        <w:t>、通用合同条款、技术标准和要求、图纸、已标价工程量清单或预算书以及其他合同文件。</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1.1.1.2 合同协议书：是指构成合同的由发包人和承包人共同签署的称为“合同协议书”的书面文件。</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1.1.1.3 中标通知书：是指构成合同的由发包人通知承包人中标的书面文件。</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1.1.1.4 投标函：是指构成合同的由承包人填写并签署的用于投标的称为“投标函”的文件。</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1.1.1.5 投标函附录：是指构成合同的附在投标函后的称为“投标函附录”的文件。</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1.1.1.6 技术标准和要求：是指构成合同的施工应当遵守的或指导施工的国家、行业或地方的技术标准和要求，以及合同约定的技术标准和要求。</w:t>
      </w:r>
    </w:p>
    <w:p>
      <w:pPr>
        <w:widowControl w:val="0"/>
        <w:ind w:firstLine="420" w:firstLineChars="200"/>
        <w:jc w:val="left"/>
        <w:rPr>
          <w:rFonts w:ascii="宋体" w:hAnsi="宋体" w:cs="宋体"/>
          <w:kern w:val="0"/>
          <w:szCs w:val="21"/>
        </w:rPr>
      </w:pPr>
      <w:r>
        <w:rPr>
          <w:rFonts w:hint="eastAsia" w:ascii="宋体" w:hAnsi="宋体" w:cs="宋体"/>
          <w:kern w:val="0"/>
          <w:szCs w:val="21"/>
        </w:rPr>
        <w:t>1.1.1.7 图纸：是指构成合同的图纸，包括由发包人按照合同约定提供或经发包人批准的设计文件、施工图、鸟瞰图及模型等，以及在合同履行过程中形成的图纸文件。图纸应当按照法律规定审查合格。</w:t>
      </w:r>
    </w:p>
    <w:p>
      <w:pPr>
        <w:widowControl w:val="0"/>
        <w:autoSpaceDE w:val="0"/>
        <w:autoSpaceDN w:val="0"/>
        <w:adjustRightInd w:val="0"/>
        <w:ind w:firstLine="409" w:firstLineChars="195"/>
        <w:jc w:val="left"/>
        <w:rPr>
          <w:rFonts w:ascii="宋体" w:hAnsi="宋体" w:cs="宋体"/>
          <w:kern w:val="0"/>
          <w:szCs w:val="21"/>
        </w:rPr>
      </w:pPr>
      <w:r>
        <w:rPr>
          <w:rFonts w:hint="eastAsia" w:ascii="宋体" w:hAnsi="宋体" w:cs="宋体"/>
          <w:kern w:val="0"/>
          <w:szCs w:val="21"/>
        </w:rPr>
        <w:t>1.1.1.8 已标价工程量清单：是指构成合同的由承包人按照规定的格式和要求填写并标明价格的工程量清单，包括说明和表格。</w:t>
      </w:r>
    </w:p>
    <w:p>
      <w:pPr>
        <w:widowControl w:val="0"/>
        <w:autoSpaceDE w:val="0"/>
        <w:autoSpaceDN w:val="0"/>
        <w:adjustRightInd w:val="0"/>
        <w:ind w:firstLine="409" w:firstLineChars="195"/>
        <w:jc w:val="left"/>
        <w:rPr>
          <w:rFonts w:ascii="宋体" w:hAnsi="宋体" w:cs="宋体"/>
          <w:kern w:val="0"/>
          <w:szCs w:val="21"/>
        </w:rPr>
      </w:pPr>
      <w:r>
        <w:rPr>
          <w:rFonts w:hint="eastAsia" w:ascii="宋体" w:hAnsi="宋体" w:cs="宋体"/>
          <w:kern w:val="0"/>
          <w:szCs w:val="21"/>
        </w:rPr>
        <w:t>1.1.1.9 预算书：是指构成合同的由承包人按照发包人规定的格式和要求编制的工程预算文件。</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1.1.1.10 其他合同文件：是指经合同当事人约定的与工程施工有关的具有合同约束力的文件或书面协议。合同当事人可以在专用合同条款中进行约定。</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1.1.2 合同当事人及其他相关方</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1.1.2.1 合同当事人：是指发包人和（或）承包人。</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1.1.2.2 发包人：是指与承包人签订合同协议书的当事人及取得该当事人资格的合法继承人。</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1.1.2.3 承包人：是指与发包人签订合同协议书的，具有相应工程施工承包资质的当事人及取得该当事人资格的合法继承人。</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1.1.2.4 监理人：是指在专用合同条款中指明的，受发包人委托按照法律规定进行工程监督管理的法人或其他组织。</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1.1.2.5 设计人：是指在专用合同条款中指明的，受发包人委托负责工程设计并具备相应工程设计资质的法人或其他组织。</w:t>
      </w:r>
    </w:p>
    <w:p>
      <w:pPr>
        <w:widowControl w:val="0"/>
        <w:ind w:firstLine="409" w:firstLineChars="195"/>
        <w:jc w:val="left"/>
        <w:rPr>
          <w:rFonts w:ascii="宋体" w:hAnsi="宋体" w:cs="宋体"/>
          <w:kern w:val="0"/>
          <w:szCs w:val="21"/>
        </w:rPr>
      </w:pPr>
      <w:r>
        <w:rPr>
          <w:rFonts w:hint="eastAsia" w:ascii="宋体" w:hAnsi="宋体" w:cs="宋体"/>
          <w:kern w:val="0"/>
          <w:szCs w:val="21"/>
        </w:rPr>
        <w:t>1.1.2.6 分包人：</w:t>
      </w:r>
      <w:bookmarkStart w:id="105" w:name="#go5"/>
      <w:bookmarkEnd w:id="105"/>
      <w:r>
        <w:rPr>
          <w:rFonts w:hint="eastAsia" w:ascii="宋体" w:hAnsi="宋体" w:cs="宋体"/>
          <w:kern w:val="0"/>
          <w:szCs w:val="21"/>
        </w:rPr>
        <w:t>是指按照法律规定和合同约定，分包部分工程或工作，并与承包人签订分包合同的具有相应资质的法人。</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1.1.2.7 发包人代表：是指由发包人任命并派驻施工现场在发包人授权范围内行使发包人权利的人。</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1.1.2.8 项目经理：是指由承包人任命并派驻施工现场，在承包人授权范围内负责合同履行，且按照法律规定具有相应资格的项目经理。</w:t>
      </w:r>
    </w:p>
    <w:p>
      <w:pPr>
        <w:widowControl w:val="0"/>
        <w:ind w:firstLine="420" w:firstLineChars="200"/>
        <w:jc w:val="left"/>
        <w:rPr>
          <w:rFonts w:ascii="宋体" w:hAnsi="宋体" w:cs="宋体"/>
          <w:kern w:val="0"/>
          <w:szCs w:val="21"/>
        </w:rPr>
      </w:pPr>
      <w:r>
        <w:rPr>
          <w:rFonts w:hint="eastAsia" w:ascii="宋体" w:hAnsi="宋体" w:cs="宋体"/>
          <w:kern w:val="0"/>
          <w:szCs w:val="21"/>
        </w:rPr>
        <w:t>1.1.2.9 总监理工程师：是指由监理人任命并派驻施工现场进行工程监理的总负责人。</w:t>
      </w:r>
    </w:p>
    <w:p>
      <w:pPr>
        <w:widowControl w:val="0"/>
        <w:ind w:firstLine="420" w:firstLineChars="200"/>
        <w:jc w:val="left"/>
        <w:rPr>
          <w:rFonts w:ascii="宋体" w:hAnsi="宋体" w:cs="宋体"/>
          <w:kern w:val="0"/>
          <w:szCs w:val="21"/>
        </w:rPr>
      </w:pPr>
      <w:r>
        <w:rPr>
          <w:rFonts w:hint="eastAsia" w:ascii="宋体" w:hAnsi="宋体" w:cs="宋体"/>
          <w:kern w:val="0"/>
          <w:szCs w:val="21"/>
        </w:rPr>
        <w:t>1.1.3 工程和设备</w:t>
      </w:r>
    </w:p>
    <w:p>
      <w:pPr>
        <w:widowControl w:val="0"/>
        <w:ind w:firstLine="420" w:firstLineChars="200"/>
        <w:jc w:val="left"/>
        <w:rPr>
          <w:rFonts w:ascii="宋体" w:hAnsi="宋体" w:cs="宋体"/>
          <w:kern w:val="0"/>
          <w:szCs w:val="21"/>
        </w:rPr>
      </w:pPr>
      <w:r>
        <w:rPr>
          <w:rFonts w:hint="eastAsia" w:ascii="宋体" w:hAnsi="宋体" w:cs="宋体"/>
          <w:kern w:val="0"/>
          <w:szCs w:val="21"/>
        </w:rPr>
        <w:t>1.1.3.1 工程：是指与合同协议书中工程承包范围对应的永久工程和（或）临时工程。</w:t>
      </w:r>
    </w:p>
    <w:p>
      <w:pPr>
        <w:widowControl w:val="0"/>
        <w:ind w:firstLine="420" w:firstLineChars="200"/>
        <w:jc w:val="left"/>
        <w:rPr>
          <w:rFonts w:ascii="宋体" w:hAnsi="宋体" w:cs="宋体"/>
          <w:kern w:val="0"/>
          <w:szCs w:val="21"/>
        </w:rPr>
      </w:pPr>
      <w:r>
        <w:rPr>
          <w:rFonts w:hint="eastAsia" w:ascii="宋体" w:hAnsi="宋体" w:cs="宋体"/>
          <w:kern w:val="0"/>
          <w:szCs w:val="21"/>
        </w:rPr>
        <w:t>1.1.3.2 永久工程：是指按合同约定建造并移交给发包人的工程，包括工程设备。</w:t>
      </w:r>
    </w:p>
    <w:p>
      <w:pPr>
        <w:widowControl w:val="0"/>
        <w:ind w:firstLine="420" w:firstLineChars="200"/>
        <w:jc w:val="left"/>
        <w:rPr>
          <w:rFonts w:ascii="宋体" w:hAnsi="宋体" w:cs="宋体"/>
          <w:kern w:val="0"/>
          <w:szCs w:val="21"/>
        </w:rPr>
      </w:pPr>
      <w:r>
        <w:rPr>
          <w:rFonts w:hint="eastAsia" w:ascii="宋体" w:hAnsi="宋体" w:cs="宋体"/>
          <w:kern w:val="0"/>
          <w:szCs w:val="21"/>
        </w:rPr>
        <w:t>1.1.3.3 临时工程：是指为完成合同约定的永久工程所修建的各类临时性工程，不包括施工设备。</w:t>
      </w:r>
    </w:p>
    <w:p>
      <w:pPr>
        <w:widowControl w:val="0"/>
        <w:ind w:firstLine="420" w:firstLineChars="200"/>
        <w:jc w:val="left"/>
        <w:rPr>
          <w:rFonts w:ascii="宋体" w:hAnsi="宋体" w:cs="宋体"/>
          <w:kern w:val="0"/>
          <w:szCs w:val="21"/>
        </w:rPr>
      </w:pPr>
      <w:r>
        <w:rPr>
          <w:rFonts w:hint="eastAsia" w:ascii="宋体" w:hAnsi="宋体" w:cs="宋体"/>
          <w:kern w:val="0"/>
          <w:szCs w:val="21"/>
        </w:rPr>
        <w:t>1.1.3.4 单位工程：是指在合同协议书中指明的，具备独立施工条件并能形成独立使用功能的永久工程。</w:t>
      </w:r>
    </w:p>
    <w:p>
      <w:pPr>
        <w:widowControl w:val="0"/>
        <w:ind w:firstLine="420" w:firstLineChars="200"/>
        <w:jc w:val="left"/>
        <w:rPr>
          <w:rFonts w:ascii="宋体" w:hAnsi="宋体" w:cs="宋体"/>
          <w:kern w:val="0"/>
          <w:szCs w:val="21"/>
        </w:rPr>
      </w:pPr>
      <w:r>
        <w:rPr>
          <w:rFonts w:hint="eastAsia" w:ascii="宋体" w:hAnsi="宋体" w:cs="宋体"/>
          <w:kern w:val="0"/>
          <w:szCs w:val="21"/>
        </w:rPr>
        <w:t>1.1.3.5 工程设备：是指构成永久工程的机电设备、金属结构设备、仪器及其他类似的设备和装置。</w:t>
      </w:r>
    </w:p>
    <w:p>
      <w:pPr>
        <w:widowControl w:val="0"/>
        <w:ind w:firstLine="420" w:firstLineChars="200"/>
        <w:jc w:val="left"/>
        <w:rPr>
          <w:rFonts w:ascii="宋体" w:hAnsi="宋体" w:cs="宋体"/>
          <w:kern w:val="0"/>
          <w:szCs w:val="21"/>
        </w:rPr>
      </w:pPr>
      <w:r>
        <w:rPr>
          <w:rFonts w:hint="eastAsia" w:ascii="宋体" w:hAnsi="宋体" w:cs="宋体"/>
          <w:kern w:val="0"/>
          <w:szCs w:val="21"/>
        </w:rPr>
        <w:t>1.1.3.6 施工设备：是指为完成合同约定的各项工作所需的设备、器具和其他物品，但不包括工程设备、临时工程和材料。</w:t>
      </w:r>
    </w:p>
    <w:p>
      <w:pPr>
        <w:widowControl w:val="0"/>
        <w:ind w:firstLine="420" w:firstLineChars="200"/>
        <w:jc w:val="left"/>
        <w:rPr>
          <w:rFonts w:ascii="宋体" w:hAnsi="宋体" w:cs="宋体"/>
          <w:kern w:val="0"/>
          <w:szCs w:val="21"/>
        </w:rPr>
      </w:pPr>
      <w:r>
        <w:rPr>
          <w:rFonts w:hint="eastAsia" w:ascii="宋体" w:hAnsi="宋体" w:cs="宋体"/>
          <w:kern w:val="0"/>
          <w:szCs w:val="21"/>
        </w:rPr>
        <w:t>1.1.3.7 施工现场：是指用于工程施工的场所，以及在专用合同条款中指明作为施工场所组成部分的其他场所，包括永久占地和临时占地。</w:t>
      </w:r>
    </w:p>
    <w:p>
      <w:pPr>
        <w:widowControl w:val="0"/>
        <w:ind w:firstLine="420" w:firstLineChars="200"/>
        <w:jc w:val="left"/>
        <w:rPr>
          <w:rFonts w:ascii="宋体" w:hAnsi="宋体" w:cs="宋体"/>
          <w:kern w:val="0"/>
          <w:szCs w:val="21"/>
        </w:rPr>
      </w:pPr>
      <w:r>
        <w:rPr>
          <w:rFonts w:hint="eastAsia" w:ascii="宋体" w:hAnsi="宋体" w:cs="宋体"/>
          <w:kern w:val="0"/>
          <w:szCs w:val="21"/>
        </w:rPr>
        <w:t>1.1.3.8临时设施：是指为完成合同约定的各项工作所服务的临时性生产和生活设施。</w:t>
      </w:r>
    </w:p>
    <w:p>
      <w:pPr>
        <w:widowControl w:val="0"/>
        <w:ind w:firstLine="420" w:firstLineChars="200"/>
        <w:jc w:val="left"/>
        <w:rPr>
          <w:rFonts w:ascii="宋体" w:hAnsi="宋体" w:cs="宋体"/>
          <w:kern w:val="0"/>
          <w:szCs w:val="21"/>
        </w:rPr>
      </w:pPr>
      <w:r>
        <w:rPr>
          <w:rFonts w:hint="eastAsia" w:ascii="宋体" w:hAnsi="宋体" w:cs="宋体"/>
          <w:kern w:val="0"/>
          <w:szCs w:val="21"/>
        </w:rPr>
        <w:t>1.1.3.9 永久占地：是指专用合同条款中指明为实施工程需永久占用的土地。</w:t>
      </w:r>
    </w:p>
    <w:p>
      <w:pPr>
        <w:widowControl w:val="0"/>
        <w:ind w:firstLine="420" w:firstLineChars="200"/>
        <w:jc w:val="left"/>
        <w:rPr>
          <w:rFonts w:ascii="宋体" w:hAnsi="宋体" w:cs="宋体"/>
          <w:kern w:val="0"/>
          <w:szCs w:val="21"/>
        </w:rPr>
      </w:pPr>
      <w:r>
        <w:rPr>
          <w:rFonts w:hint="eastAsia" w:ascii="宋体" w:hAnsi="宋体" w:cs="宋体"/>
          <w:kern w:val="0"/>
          <w:szCs w:val="21"/>
        </w:rPr>
        <w:t>1.1.3.10 临时占地：是指专用合同条款中指明为实施工程需要临时占用的土地。</w:t>
      </w:r>
    </w:p>
    <w:p>
      <w:pPr>
        <w:widowControl w:val="0"/>
        <w:ind w:firstLine="420" w:firstLineChars="200"/>
        <w:jc w:val="left"/>
        <w:rPr>
          <w:rFonts w:ascii="宋体" w:hAnsi="宋体" w:cs="宋体"/>
          <w:kern w:val="0"/>
          <w:szCs w:val="21"/>
        </w:rPr>
      </w:pPr>
      <w:r>
        <w:rPr>
          <w:rFonts w:hint="eastAsia" w:ascii="宋体" w:hAnsi="宋体" w:cs="宋体"/>
          <w:kern w:val="0"/>
          <w:szCs w:val="21"/>
        </w:rPr>
        <w:t>1.1.4 日期和期限</w:t>
      </w:r>
    </w:p>
    <w:p>
      <w:pPr>
        <w:widowControl w:val="0"/>
        <w:ind w:firstLine="420" w:firstLineChars="200"/>
        <w:jc w:val="left"/>
        <w:rPr>
          <w:rFonts w:ascii="宋体" w:hAnsi="宋体" w:cs="宋体"/>
          <w:kern w:val="0"/>
          <w:szCs w:val="21"/>
        </w:rPr>
      </w:pPr>
      <w:r>
        <w:rPr>
          <w:rFonts w:hint="eastAsia" w:ascii="宋体" w:hAnsi="宋体" w:cs="宋体"/>
          <w:kern w:val="0"/>
          <w:szCs w:val="21"/>
        </w:rPr>
        <w:t>1.1.4.1 开工日期：包括计划开工日期和实际开工日期。计划开工日期是指合同协议书约定的开工日期；实际开工日期是指监理人按照第7.3.2项〔开工通知〕约定发出的符合法律规定的开工通知中载明的开工日期。</w:t>
      </w:r>
    </w:p>
    <w:p>
      <w:pPr>
        <w:widowControl w:val="0"/>
        <w:ind w:firstLine="420" w:firstLineChars="200"/>
        <w:jc w:val="left"/>
        <w:rPr>
          <w:rFonts w:ascii="宋体" w:hAnsi="宋体" w:cs="宋体"/>
          <w:kern w:val="0"/>
          <w:szCs w:val="21"/>
        </w:rPr>
      </w:pPr>
      <w:r>
        <w:rPr>
          <w:rFonts w:hint="eastAsia" w:ascii="宋体" w:hAnsi="宋体" w:cs="宋体"/>
          <w:kern w:val="0"/>
          <w:szCs w:val="21"/>
        </w:rPr>
        <w:t>1.1.4.2 竣工日期：包括计划竣工日期和实际竣工日期。计划竣工日期是指合同协议书约定的竣工日期；实际竣工日期按照第13.2.3项〔竣工日期〕的约定确定。</w:t>
      </w:r>
    </w:p>
    <w:p>
      <w:pPr>
        <w:widowControl w:val="0"/>
        <w:ind w:firstLine="426" w:firstLineChars="203"/>
        <w:rPr>
          <w:rFonts w:ascii="宋体" w:hAnsi="宋体" w:cs="宋体"/>
          <w:szCs w:val="21"/>
        </w:rPr>
      </w:pPr>
      <w:r>
        <w:rPr>
          <w:rFonts w:hint="eastAsia" w:ascii="宋体" w:hAnsi="宋体" w:cs="宋体"/>
          <w:kern w:val="0"/>
          <w:szCs w:val="21"/>
        </w:rPr>
        <w:t>1.1.4.3 工期：是指在合同协议书约定的承包人完成工程所需的期限，包括按照合同约定所作的期限变更。</w:t>
      </w:r>
    </w:p>
    <w:p>
      <w:pPr>
        <w:widowControl w:val="0"/>
        <w:ind w:firstLine="420" w:firstLineChars="200"/>
        <w:jc w:val="left"/>
        <w:rPr>
          <w:rFonts w:ascii="宋体" w:hAnsi="宋体" w:cs="宋体"/>
          <w:kern w:val="0"/>
          <w:szCs w:val="21"/>
        </w:rPr>
      </w:pPr>
      <w:r>
        <w:rPr>
          <w:rFonts w:hint="eastAsia" w:ascii="宋体" w:hAnsi="宋体" w:cs="宋体"/>
          <w:kern w:val="0"/>
          <w:szCs w:val="21"/>
        </w:rPr>
        <w:t>1.1.4.4 缺陷责任期：是指承包人按照合同约定承担缺陷修复义务，且发包人预留质量保证金（已缴纳履约保证金的除外）的期限，自工程实际竣工日期起计算。</w:t>
      </w:r>
    </w:p>
    <w:p>
      <w:pPr>
        <w:widowControl w:val="0"/>
        <w:ind w:firstLine="420" w:firstLineChars="200"/>
        <w:jc w:val="left"/>
        <w:rPr>
          <w:rFonts w:ascii="宋体" w:hAnsi="宋体" w:cs="宋体"/>
          <w:kern w:val="0"/>
          <w:szCs w:val="21"/>
        </w:rPr>
      </w:pPr>
      <w:r>
        <w:rPr>
          <w:rFonts w:hint="eastAsia" w:ascii="宋体" w:hAnsi="宋体" w:cs="宋体"/>
          <w:kern w:val="0"/>
          <w:szCs w:val="21"/>
        </w:rPr>
        <w:t>1.1.4.5 保修期：是指承包人按照合同约定对工程承担保修责任的期限，从工程竣工验收合格之日起计算。</w:t>
      </w:r>
    </w:p>
    <w:p>
      <w:pPr>
        <w:widowControl w:val="0"/>
        <w:ind w:firstLine="420" w:firstLineChars="200"/>
        <w:jc w:val="left"/>
        <w:rPr>
          <w:rFonts w:ascii="宋体" w:hAnsi="宋体" w:cs="宋体"/>
          <w:kern w:val="0"/>
          <w:szCs w:val="21"/>
        </w:rPr>
      </w:pPr>
      <w:r>
        <w:rPr>
          <w:rFonts w:hint="eastAsia" w:ascii="宋体" w:hAnsi="宋体" w:cs="宋体"/>
          <w:kern w:val="0"/>
          <w:szCs w:val="21"/>
        </w:rPr>
        <w:t>1.1.4.6 基准日期：招标发包的工程以投标截止日前28天的日期为基准日期，直接发包的工程以合同签订日前28天的日期为基准日期。</w:t>
      </w:r>
    </w:p>
    <w:p>
      <w:pPr>
        <w:widowControl w:val="0"/>
        <w:ind w:firstLine="420" w:firstLineChars="200"/>
        <w:jc w:val="left"/>
        <w:rPr>
          <w:rFonts w:ascii="宋体" w:hAnsi="宋体" w:cs="宋体"/>
          <w:kern w:val="0"/>
          <w:szCs w:val="21"/>
        </w:rPr>
      </w:pPr>
      <w:r>
        <w:rPr>
          <w:rFonts w:hint="eastAsia" w:ascii="宋体" w:hAnsi="宋体" w:cs="宋体"/>
          <w:kern w:val="0"/>
          <w:szCs w:val="21"/>
        </w:rPr>
        <w:t>1.1.4.7 天：除特别指明外，均指日历天。合同中按天计算时间的，开始当天不计入，从次日开始计算，期限最后一天的截止时间为当天24:00时。</w:t>
      </w:r>
    </w:p>
    <w:p>
      <w:pPr>
        <w:widowControl w:val="0"/>
        <w:ind w:firstLine="420" w:firstLineChars="200"/>
        <w:jc w:val="left"/>
        <w:rPr>
          <w:rFonts w:ascii="宋体" w:hAnsi="宋体" w:cs="宋体"/>
          <w:kern w:val="0"/>
          <w:szCs w:val="21"/>
        </w:rPr>
      </w:pPr>
      <w:r>
        <w:rPr>
          <w:rFonts w:hint="eastAsia" w:ascii="宋体" w:hAnsi="宋体" w:cs="宋体"/>
          <w:kern w:val="0"/>
          <w:szCs w:val="21"/>
        </w:rPr>
        <w:t>1.1.5 合同价格和费用</w:t>
      </w:r>
    </w:p>
    <w:p>
      <w:pPr>
        <w:widowControl w:val="0"/>
        <w:ind w:firstLine="420" w:firstLineChars="200"/>
        <w:jc w:val="left"/>
        <w:rPr>
          <w:rFonts w:ascii="宋体" w:hAnsi="宋体" w:cs="宋体"/>
          <w:szCs w:val="21"/>
        </w:rPr>
      </w:pPr>
      <w:r>
        <w:rPr>
          <w:rFonts w:hint="eastAsia" w:ascii="宋体" w:hAnsi="宋体" w:cs="宋体"/>
          <w:kern w:val="0"/>
          <w:szCs w:val="21"/>
        </w:rPr>
        <w:t>1.1.5.1 签约合同价：是指</w:t>
      </w:r>
      <w:r>
        <w:rPr>
          <w:rFonts w:hint="eastAsia" w:ascii="宋体" w:hAnsi="宋体" w:cs="宋体"/>
          <w:szCs w:val="21"/>
        </w:rPr>
        <w:t>发包人和承包人在合同协议书中确定的总金额，包括安全文明施工费、暂估价及暂列金额等。</w:t>
      </w:r>
    </w:p>
    <w:p>
      <w:pPr>
        <w:widowControl w:val="0"/>
        <w:ind w:firstLine="420" w:firstLineChars="200"/>
        <w:jc w:val="left"/>
        <w:rPr>
          <w:rFonts w:ascii="宋体" w:hAnsi="宋体" w:cs="宋体"/>
          <w:kern w:val="0"/>
          <w:szCs w:val="21"/>
        </w:rPr>
      </w:pPr>
      <w:r>
        <w:rPr>
          <w:rFonts w:hint="eastAsia" w:ascii="宋体" w:hAnsi="宋体" w:cs="宋体"/>
          <w:kern w:val="0"/>
          <w:szCs w:val="21"/>
        </w:rPr>
        <w:t>1.1.5.2 合同价格：是指发包人用于支付承包人按照合同约定完成承包范围内全部工作的金额，包括合同履行过程中按合同约定发生的价格变化。</w:t>
      </w:r>
    </w:p>
    <w:p>
      <w:pPr>
        <w:widowControl w:val="0"/>
        <w:ind w:firstLine="420" w:firstLineChars="200"/>
        <w:jc w:val="left"/>
        <w:rPr>
          <w:rFonts w:ascii="宋体" w:hAnsi="宋体" w:cs="宋体"/>
          <w:kern w:val="0"/>
          <w:szCs w:val="21"/>
        </w:rPr>
      </w:pPr>
      <w:r>
        <w:rPr>
          <w:rFonts w:hint="eastAsia" w:ascii="宋体" w:hAnsi="宋体" w:cs="宋体"/>
          <w:kern w:val="0"/>
          <w:szCs w:val="21"/>
        </w:rPr>
        <w:t>1.1.5.3 费用：是指为履行合同所发生的或将要发生的所有必需的开支，包括管理费和应分摊的其他费用，但不包括利润。</w:t>
      </w:r>
    </w:p>
    <w:p>
      <w:pPr>
        <w:widowControl w:val="0"/>
        <w:ind w:firstLine="420" w:firstLineChars="200"/>
        <w:jc w:val="left"/>
        <w:rPr>
          <w:rFonts w:ascii="宋体" w:hAnsi="宋体" w:cs="宋体"/>
          <w:kern w:val="0"/>
          <w:szCs w:val="21"/>
        </w:rPr>
      </w:pPr>
      <w:r>
        <w:rPr>
          <w:rFonts w:hint="eastAsia" w:ascii="宋体" w:hAnsi="宋体" w:cs="宋体"/>
          <w:kern w:val="0"/>
          <w:szCs w:val="21"/>
        </w:rPr>
        <w:t>1.1.5.4 暂估价：是指发包人在工程量清单或预算书中提供的用于支付必然发生但暂时不能确定价格的材料、工程设备的单价、专业工程以及服务工作的金额。</w:t>
      </w:r>
    </w:p>
    <w:p>
      <w:pPr>
        <w:widowControl w:val="0"/>
        <w:ind w:firstLine="420" w:firstLineChars="200"/>
        <w:jc w:val="left"/>
        <w:rPr>
          <w:rFonts w:ascii="宋体" w:hAnsi="宋体" w:cs="宋体"/>
          <w:kern w:val="0"/>
          <w:szCs w:val="21"/>
        </w:rPr>
      </w:pPr>
      <w:r>
        <w:rPr>
          <w:rFonts w:hint="eastAsia" w:ascii="宋体" w:hAnsi="宋体" w:cs="宋体"/>
          <w:kern w:val="0"/>
          <w:szCs w:val="21"/>
        </w:rPr>
        <w:t>1.1.5.5 暂列金额：是指发包人在工程量清单或预算书中暂定并包括在合同价格中的一笔款项，用于工程合同签订时尚未确定或者不可预见的所需材料、工程设备、服务的采购，施工中可能发生的工程变更、合同约定调整因素出现时的合同价格调整以及发生的索赔、现场签证确认等的费用。</w:t>
      </w:r>
    </w:p>
    <w:p>
      <w:pPr>
        <w:widowControl w:val="0"/>
        <w:ind w:firstLine="420" w:firstLineChars="200"/>
        <w:jc w:val="left"/>
        <w:rPr>
          <w:rFonts w:ascii="宋体" w:hAnsi="宋体" w:cs="宋体"/>
          <w:kern w:val="0"/>
          <w:szCs w:val="21"/>
        </w:rPr>
      </w:pPr>
      <w:r>
        <w:rPr>
          <w:rFonts w:hint="eastAsia" w:ascii="宋体" w:hAnsi="宋体" w:cs="宋体"/>
          <w:kern w:val="0"/>
          <w:szCs w:val="21"/>
        </w:rPr>
        <w:t>1.1.5.6 计日工：是指合同履行过程中，承包人完成发包人提出的零星工作或需要采用计日工计价的变更工作时，按合同中约定的单价计价的一种方式。</w:t>
      </w:r>
    </w:p>
    <w:p>
      <w:pPr>
        <w:widowControl w:val="0"/>
        <w:ind w:firstLine="420" w:firstLineChars="200"/>
        <w:jc w:val="left"/>
        <w:rPr>
          <w:rFonts w:ascii="宋体" w:hAnsi="宋体" w:cs="宋体"/>
          <w:szCs w:val="21"/>
        </w:rPr>
      </w:pPr>
      <w:r>
        <w:rPr>
          <w:rFonts w:hint="eastAsia" w:ascii="宋体" w:hAnsi="宋体" w:cs="宋体"/>
          <w:kern w:val="0"/>
          <w:szCs w:val="21"/>
        </w:rPr>
        <w:t>1.1.5.7 质量保证金</w:t>
      </w:r>
      <w:bookmarkStart w:id="106" w:name="#go2"/>
      <w:bookmarkEnd w:id="106"/>
      <w:r>
        <w:rPr>
          <w:rFonts w:hint="eastAsia" w:ascii="宋体" w:hAnsi="宋体" w:cs="宋体"/>
          <w:kern w:val="0"/>
          <w:szCs w:val="21"/>
        </w:rPr>
        <w:t>：是指按照第15.3款〔质量保证金〕约定承包人用于保证其在缺陷责任期内履行缺陷修补义务的担保</w:t>
      </w:r>
      <w:r>
        <w:rPr>
          <w:rFonts w:hint="eastAsia" w:ascii="宋体" w:hAnsi="宋体" w:cs="宋体"/>
          <w:szCs w:val="21"/>
        </w:rPr>
        <w:t>。</w:t>
      </w:r>
    </w:p>
    <w:p>
      <w:pPr>
        <w:widowControl w:val="0"/>
        <w:ind w:firstLine="420" w:firstLineChars="200"/>
        <w:jc w:val="left"/>
        <w:rPr>
          <w:rFonts w:ascii="宋体" w:hAnsi="宋体" w:cs="宋体"/>
          <w:kern w:val="0"/>
          <w:szCs w:val="21"/>
        </w:rPr>
      </w:pPr>
      <w:r>
        <w:rPr>
          <w:rFonts w:hint="eastAsia" w:ascii="宋体" w:hAnsi="宋体" w:cs="宋体"/>
          <w:kern w:val="0"/>
          <w:szCs w:val="21"/>
        </w:rPr>
        <w:t>1.1.5.8 总价项目：是指在现行国家、行业以及地方的计量规则中无工程量计算规则，在已标价工程量清单或预算书中以总价或以费率形式计算的项目。</w:t>
      </w:r>
    </w:p>
    <w:p>
      <w:pPr>
        <w:widowControl w:val="0"/>
        <w:ind w:firstLine="420" w:firstLineChars="200"/>
        <w:jc w:val="left"/>
        <w:rPr>
          <w:rFonts w:ascii="宋体" w:hAnsi="宋体" w:cs="宋体"/>
          <w:szCs w:val="21"/>
        </w:rPr>
      </w:pPr>
      <w:r>
        <w:rPr>
          <w:rFonts w:hint="eastAsia" w:ascii="宋体" w:hAnsi="宋体" w:cs="宋体"/>
          <w:szCs w:val="21"/>
        </w:rPr>
        <w:t>1.1.6 其他</w:t>
      </w:r>
    </w:p>
    <w:p>
      <w:pPr>
        <w:widowControl w:val="0"/>
        <w:ind w:firstLine="420" w:firstLineChars="200"/>
        <w:jc w:val="left"/>
        <w:rPr>
          <w:rFonts w:ascii="宋体" w:hAnsi="宋体" w:cs="宋体"/>
          <w:szCs w:val="21"/>
        </w:rPr>
      </w:pPr>
      <w:r>
        <w:rPr>
          <w:rFonts w:hint="eastAsia" w:ascii="宋体" w:hAnsi="宋体" w:cs="宋体"/>
          <w:szCs w:val="21"/>
        </w:rPr>
        <w:t>1.1.6.1 书面形式：是指合同文件、信函、电报、传真等可以有形地表现所载内容的形式。</w:t>
      </w:r>
    </w:p>
    <w:p>
      <w:pPr>
        <w:widowControl w:val="0"/>
        <w:tabs>
          <w:tab w:val="left" w:pos="1008"/>
        </w:tabs>
        <w:jc w:val="left"/>
        <w:outlineLvl w:val="4"/>
        <w:rPr>
          <w:rFonts w:ascii="宋体" w:hAnsi="宋体" w:cs="宋体"/>
          <w:bCs/>
          <w:kern w:val="0"/>
          <w:szCs w:val="21"/>
        </w:rPr>
      </w:pPr>
      <w:bookmarkStart w:id="107" w:name="_Toc296346530"/>
      <w:bookmarkStart w:id="108" w:name="_Toc337558729"/>
      <w:bookmarkStart w:id="109" w:name="_Toc296503029"/>
      <w:bookmarkStart w:id="110" w:name="_Toc351203497"/>
      <w:r>
        <w:rPr>
          <w:rFonts w:hint="eastAsia" w:ascii="宋体" w:hAnsi="宋体" w:cs="宋体"/>
          <w:bCs/>
          <w:kern w:val="0"/>
          <w:szCs w:val="21"/>
        </w:rPr>
        <w:t>1.2语言文字</w:t>
      </w:r>
      <w:bookmarkEnd w:id="107"/>
      <w:bookmarkEnd w:id="108"/>
      <w:bookmarkEnd w:id="109"/>
      <w:bookmarkEnd w:id="110"/>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合同以中国的汉语简体文字编写、解释和说明。合同当事人在专用合同条款中约定使用两种以上语言时，汉语为优先解释和说明合同的语言。</w:t>
      </w:r>
    </w:p>
    <w:p>
      <w:pPr>
        <w:widowControl w:val="0"/>
        <w:tabs>
          <w:tab w:val="left" w:pos="1008"/>
        </w:tabs>
        <w:jc w:val="left"/>
        <w:outlineLvl w:val="4"/>
        <w:rPr>
          <w:rFonts w:ascii="宋体" w:hAnsi="宋体" w:cs="宋体"/>
          <w:kern w:val="0"/>
          <w:szCs w:val="21"/>
        </w:rPr>
      </w:pPr>
      <w:bookmarkStart w:id="111" w:name="_Toc296503030"/>
      <w:bookmarkStart w:id="112" w:name="_Toc296346531"/>
      <w:bookmarkStart w:id="113" w:name="_Toc337558730"/>
      <w:bookmarkStart w:id="114" w:name="_Toc351203498"/>
      <w:r>
        <w:rPr>
          <w:rFonts w:hint="eastAsia" w:ascii="宋体" w:hAnsi="宋体" w:cs="宋体"/>
          <w:kern w:val="0"/>
          <w:szCs w:val="21"/>
        </w:rPr>
        <w:t>1.3法律</w:t>
      </w:r>
      <w:bookmarkEnd w:id="111"/>
      <w:bookmarkEnd w:id="112"/>
      <w:bookmarkEnd w:id="113"/>
      <w:bookmarkEnd w:id="114"/>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合同所称法律是指中华人民共和国法律、行政法规、部门规章，以及工程所在地的地方性法规、自治条例、单行条例和地方政府规章等。</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合同当事人可以在专用合同条款中约定合同适用的其他规范性文件。</w:t>
      </w:r>
    </w:p>
    <w:p>
      <w:pPr>
        <w:widowControl w:val="0"/>
        <w:tabs>
          <w:tab w:val="left" w:pos="1008"/>
        </w:tabs>
        <w:jc w:val="left"/>
        <w:outlineLvl w:val="4"/>
        <w:rPr>
          <w:rFonts w:ascii="宋体" w:hAnsi="宋体" w:cs="宋体"/>
          <w:kern w:val="0"/>
          <w:szCs w:val="21"/>
        </w:rPr>
      </w:pPr>
      <w:bookmarkStart w:id="115" w:name="_Toc351203499"/>
      <w:r>
        <w:rPr>
          <w:rFonts w:hint="eastAsia" w:ascii="宋体" w:hAnsi="宋体" w:cs="宋体"/>
          <w:kern w:val="0"/>
          <w:szCs w:val="21"/>
        </w:rPr>
        <w:t>1.4 标准和规范</w:t>
      </w:r>
      <w:bookmarkEnd w:id="115"/>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1.4.1 适用于工程的国家标准、行业标准、工程所在地的地方性标准，以及相应的规范、规程等，合同当事人有特别要求的，应在专用合同条款中约定。</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1.4.2 发包人要求使用国外标准、规范的，发包人负责提供原文版本和中文译本，并在专用合同条款中约定提供标准规范的名称、份数和时间。</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1.4.3 发包人对工程的技术标准、功能要求高于或严于现行国家、行业或地方标准的，应当在专用合同条款中予以明确。除专用合同条款另有约定外，应视为承包人在签订合同前已充分预见前述技术标准和功能要求的复杂程度，签约合同价中已包含由此产生的费用。</w:t>
      </w:r>
    </w:p>
    <w:p>
      <w:pPr>
        <w:widowControl w:val="0"/>
        <w:tabs>
          <w:tab w:val="left" w:pos="1008"/>
        </w:tabs>
        <w:jc w:val="left"/>
        <w:outlineLvl w:val="4"/>
        <w:rPr>
          <w:rFonts w:ascii="宋体" w:hAnsi="宋体" w:cs="宋体"/>
          <w:kern w:val="0"/>
          <w:szCs w:val="21"/>
        </w:rPr>
      </w:pPr>
      <w:bookmarkStart w:id="116" w:name="_Toc351203500"/>
      <w:r>
        <w:rPr>
          <w:rFonts w:hint="eastAsia" w:ascii="宋体" w:hAnsi="宋体" w:cs="宋体"/>
          <w:kern w:val="0"/>
          <w:szCs w:val="21"/>
        </w:rPr>
        <w:t>1</w:t>
      </w:r>
      <w:bookmarkStart w:id="117" w:name="_Toc296346532"/>
      <w:bookmarkStart w:id="118" w:name="_Toc337558731"/>
      <w:bookmarkStart w:id="119" w:name="_Toc296503031"/>
      <w:r>
        <w:rPr>
          <w:rFonts w:hint="eastAsia" w:ascii="宋体" w:hAnsi="宋体" w:cs="宋体"/>
          <w:kern w:val="0"/>
          <w:szCs w:val="21"/>
        </w:rPr>
        <w:t>.5 合同文件的优先顺序</w:t>
      </w:r>
      <w:bookmarkEnd w:id="116"/>
    </w:p>
    <w:bookmarkEnd w:id="117"/>
    <w:bookmarkEnd w:id="118"/>
    <w:bookmarkEnd w:id="119"/>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组成合同的各项文件应互相解释，互为说明。除专用合同条款另有约定外，解释合同文件的优先顺序如下：</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（1）合同协议书；</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（2）中标通知书（如果有）；</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（3）投标函及其附录（如果有）；</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（4）专用合同条款</w:t>
      </w:r>
      <w:r>
        <w:rPr>
          <w:rFonts w:hint="eastAsia" w:ascii="宋体" w:hAnsi="宋体" w:cs="宋体"/>
          <w:szCs w:val="21"/>
        </w:rPr>
        <w:t>及其附件</w:t>
      </w:r>
      <w:r>
        <w:rPr>
          <w:rFonts w:hint="eastAsia" w:ascii="宋体" w:hAnsi="宋体" w:cs="宋体"/>
          <w:kern w:val="0"/>
          <w:szCs w:val="21"/>
        </w:rPr>
        <w:t>；</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（5）通用合同条款；</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（6）技术标准和要求；</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（7）图纸；</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（8）已标价工程量清单或预算书；</w:t>
      </w:r>
    </w:p>
    <w:p>
      <w:pPr>
        <w:widowControl w:val="0"/>
        <w:autoSpaceDE w:val="0"/>
        <w:autoSpaceDN w:val="0"/>
        <w:adjustRightInd w:val="0"/>
        <w:ind w:firstLine="420" w:firstLineChars="200"/>
        <w:jc w:val="left"/>
        <w:rPr>
          <w:rFonts w:ascii="宋体" w:hAnsi="宋体" w:cs="宋体"/>
          <w:szCs w:val="21"/>
        </w:rPr>
      </w:pPr>
      <w:r>
        <w:rPr>
          <w:rFonts w:hint="eastAsia" w:ascii="宋体" w:hAnsi="宋体" w:cs="宋体"/>
          <w:kern w:val="0"/>
          <w:szCs w:val="21"/>
        </w:rPr>
        <w:t>（9）其他合同文件。</w:t>
      </w:r>
    </w:p>
    <w:p>
      <w:pPr>
        <w:widowControl w:val="0"/>
        <w:ind w:firstLine="447" w:firstLineChars="213"/>
        <w:rPr>
          <w:rFonts w:ascii="宋体" w:hAnsi="宋体" w:cs="宋体"/>
          <w:szCs w:val="21"/>
        </w:rPr>
      </w:pPr>
      <w:r>
        <w:rPr>
          <w:rFonts w:hint="eastAsia" w:ascii="宋体" w:hAnsi="宋体" w:cs="宋体"/>
          <w:szCs w:val="21"/>
        </w:rPr>
        <w:t>上述各项合同文件包括合同当事人就该项合同文件所作出的补充和修改，属于同一类内容的文件，应以最新签署的为准。</w:t>
      </w:r>
    </w:p>
    <w:p>
      <w:pPr>
        <w:widowControl w:val="0"/>
        <w:ind w:firstLine="447" w:firstLineChars="213"/>
        <w:rPr>
          <w:rFonts w:ascii="宋体" w:hAnsi="宋体" w:cs="宋体"/>
          <w:szCs w:val="21"/>
        </w:rPr>
      </w:pPr>
      <w:r>
        <w:rPr>
          <w:rFonts w:hint="eastAsia" w:ascii="宋体" w:hAnsi="宋体" w:cs="宋体"/>
          <w:szCs w:val="21"/>
        </w:rPr>
        <w:t>在合同订立及履行过程中形成的与合同有关的文件均构成合同文件组成部分，并根据其性质确定优先解释顺序。</w:t>
      </w:r>
    </w:p>
    <w:p>
      <w:pPr>
        <w:widowControl w:val="0"/>
        <w:tabs>
          <w:tab w:val="left" w:pos="1008"/>
        </w:tabs>
        <w:jc w:val="left"/>
        <w:outlineLvl w:val="4"/>
        <w:rPr>
          <w:rFonts w:ascii="宋体" w:hAnsi="宋体" w:cs="宋体"/>
          <w:kern w:val="0"/>
          <w:szCs w:val="21"/>
        </w:rPr>
      </w:pPr>
      <w:bookmarkStart w:id="120" w:name="_Toc351203501"/>
      <w:r>
        <w:rPr>
          <w:rFonts w:hint="eastAsia" w:ascii="宋体" w:hAnsi="宋体" w:cs="宋体"/>
          <w:kern w:val="0"/>
          <w:szCs w:val="21"/>
        </w:rPr>
        <w:t>1</w:t>
      </w:r>
      <w:bookmarkStart w:id="121" w:name="_Toc337558732"/>
      <w:bookmarkStart w:id="122" w:name="_Toc296503032"/>
      <w:bookmarkStart w:id="123" w:name="_Toc296346533"/>
      <w:r>
        <w:rPr>
          <w:rFonts w:hint="eastAsia" w:ascii="宋体" w:hAnsi="宋体" w:cs="宋体"/>
          <w:kern w:val="0"/>
          <w:szCs w:val="21"/>
        </w:rPr>
        <w:t>.6图纸和承包人文件</w:t>
      </w:r>
      <w:bookmarkEnd w:id="120"/>
    </w:p>
    <w:bookmarkEnd w:id="121"/>
    <w:bookmarkEnd w:id="122"/>
    <w:bookmarkEnd w:id="123"/>
    <w:p>
      <w:pPr>
        <w:widowControl w:val="0"/>
        <w:ind w:firstLine="420" w:firstLineChars="200"/>
        <w:jc w:val="left"/>
        <w:rPr>
          <w:rFonts w:ascii="宋体" w:hAnsi="宋体" w:cs="宋体"/>
          <w:kern w:val="0"/>
          <w:szCs w:val="21"/>
        </w:rPr>
      </w:pPr>
      <w:r>
        <w:rPr>
          <w:rFonts w:hint="eastAsia" w:ascii="宋体" w:hAnsi="宋体" w:cs="宋体"/>
          <w:kern w:val="0"/>
          <w:szCs w:val="21"/>
        </w:rPr>
        <w:t>1.6.1 图纸的提供和交底</w:t>
      </w:r>
    </w:p>
    <w:p>
      <w:pPr>
        <w:widowControl w:val="0"/>
        <w:ind w:firstLine="420" w:firstLineChars="200"/>
        <w:jc w:val="left"/>
        <w:rPr>
          <w:rFonts w:ascii="宋体" w:hAnsi="宋体" w:cs="宋体"/>
          <w:kern w:val="0"/>
          <w:szCs w:val="21"/>
        </w:rPr>
      </w:pPr>
      <w:r>
        <w:rPr>
          <w:rFonts w:hint="eastAsia" w:ascii="宋体" w:hAnsi="宋体" w:cs="宋体"/>
          <w:kern w:val="0"/>
          <w:szCs w:val="21"/>
        </w:rPr>
        <w:t>发包人应按照专用合同条款约定的期限、数量和内容向承包人免费提供图纸，并组织承包人、监理人和设计人进行图纸会审和设计交底。发包人至迟不得晚于第7.3.2项〔开工通知〕载明的开工日期前14天向承包人提供图纸。</w:t>
      </w:r>
    </w:p>
    <w:p>
      <w:pPr>
        <w:widowControl w:val="0"/>
        <w:ind w:firstLine="420" w:firstLineChars="200"/>
        <w:jc w:val="left"/>
        <w:rPr>
          <w:rFonts w:ascii="宋体" w:hAnsi="宋体" w:cs="宋体"/>
          <w:kern w:val="0"/>
          <w:szCs w:val="21"/>
        </w:rPr>
      </w:pPr>
      <w:r>
        <w:rPr>
          <w:rFonts w:hint="eastAsia" w:ascii="宋体" w:hAnsi="宋体" w:cs="宋体"/>
          <w:kern w:val="0"/>
          <w:szCs w:val="21"/>
        </w:rPr>
        <w:t>因发包人未按合同约定提供图纸导致承包人费用增加和（或）工期延误的，按照第7.5.1项〔因发包人原因导致工期延误〕约定办理。</w:t>
      </w:r>
    </w:p>
    <w:p>
      <w:pPr>
        <w:widowControl w:val="0"/>
        <w:ind w:firstLine="420" w:firstLineChars="200"/>
        <w:jc w:val="left"/>
        <w:rPr>
          <w:rFonts w:ascii="宋体" w:hAnsi="宋体" w:cs="宋体"/>
          <w:kern w:val="0"/>
          <w:szCs w:val="21"/>
        </w:rPr>
      </w:pPr>
      <w:r>
        <w:rPr>
          <w:rFonts w:hint="eastAsia" w:ascii="宋体" w:hAnsi="宋体" w:cs="宋体"/>
          <w:kern w:val="0"/>
          <w:szCs w:val="21"/>
        </w:rPr>
        <w:t>1.6.2 图纸的错误</w:t>
      </w:r>
    </w:p>
    <w:p>
      <w:pPr>
        <w:widowControl w:val="0"/>
        <w:ind w:firstLine="420" w:firstLineChars="200"/>
        <w:jc w:val="left"/>
        <w:rPr>
          <w:rFonts w:ascii="宋体" w:hAnsi="宋体" w:cs="宋体"/>
          <w:kern w:val="0"/>
          <w:szCs w:val="21"/>
        </w:rPr>
      </w:pPr>
      <w:r>
        <w:rPr>
          <w:rFonts w:hint="eastAsia" w:ascii="宋体" w:hAnsi="宋体" w:cs="宋体"/>
          <w:kern w:val="0"/>
          <w:szCs w:val="21"/>
        </w:rPr>
        <w:t>承包人在收到发包人提供的图纸后，发现图纸存在差错、遗漏或缺陷的，应及时通知监理人。监理人接到该通知后，应附具相关意见并立即报送发包人，发包人应在收到监理人报送的通知后的合理时间内作出决定。合理时间是指发包人在收到监理人的报送通知后，尽其努力且不懈怠地完成图纸修改补充所需的时间。</w:t>
      </w:r>
    </w:p>
    <w:p>
      <w:pPr>
        <w:widowControl w:val="0"/>
        <w:ind w:firstLine="420" w:firstLineChars="200"/>
        <w:jc w:val="left"/>
        <w:rPr>
          <w:rFonts w:ascii="宋体" w:hAnsi="宋体" w:cs="宋体"/>
          <w:kern w:val="0"/>
          <w:szCs w:val="21"/>
        </w:rPr>
      </w:pPr>
      <w:r>
        <w:rPr>
          <w:rFonts w:hint="eastAsia" w:ascii="宋体" w:hAnsi="宋体" w:cs="宋体"/>
          <w:kern w:val="0"/>
          <w:szCs w:val="21"/>
        </w:rPr>
        <w:t>1.6.3 图纸的修改和补充</w:t>
      </w:r>
    </w:p>
    <w:p>
      <w:pPr>
        <w:widowControl w:val="0"/>
        <w:ind w:firstLine="420" w:firstLineChars="200"/>
        <w:jc w:val="left"/>
        <w:rPr>
          <w:rFonts w:ascii="宋体" w:hAnsi="宋体" w:cs="宋体"/>
          <w:kern w:val="0"/>
          <w:szCs w:val="21"/>
        </w:rPr>
      </w:pPr>
      <w:r>
        <w:rPr>
          <w:rFonts w:hint="eastAsia" w:ascii="宋体" w:hAnsi="宋体" w:cs="宋体"/>
          <w:kern w:val="0"/>
          <w:szCs w:val="21"/>
        </w:rPr>
        <w:t>图纸需要修改和补充的，应经图纸原设计人及审批部门同意，并由监理人在工程或工程相应部位施工前将修改后的图纸或补充图纸提交给承包人，承包人应按修改或补充后的图纸施工。</w:t>
      </w:r>
    </w:p>
    <w:p>
      <w:pPr>
        <w:widowControl w:val="0"/>
        <w:ind w:firstLine="420" w:firstLineChars="200"/>
        <w:jc w:val="left"/>
        <w:rPr>
          <w:rFonts w:ascii="宋体" w:hAnsi="宋体" w:cs="宋体"/>
          <w:kern w:val="0"/>
          <w:szCs w:val="21"/>
        </w:rPr>
      </w:pPr>
      <w:r>
        <w:rPr>
          <w:rFonts w:hint="eastAsia" w:ascii="宋体" w:hAnsi="宋体" w:cs="宋体"/>
          <w:kern w:val="0"/>
          <w:szCs w:val="21"/>
        </w:rPr>
        <w:t>1.6.4 承包人文件</w:t>
      </w:r>
    </w:p>
    <w:p>
      <w:pPr>
        <w:widowControl w:val="0"/>
        <w:ind w:firstLine="420" w:firstLineChars="200"/>
        <w:jc w:val="left"/>
        <w:rPr>
          <w:rFonts w:ascii="宋体" w:hAnsi="宋体" w:cs="宋体"/>
          <w:kern w:val="0"/>
          <w:szCs w:val="21"/>
        </w:rPr>
      </w:pPr>
      <w:r>
        <w:rPr>
          <w:rFonts w:hint="eastAsia" w:ascii="宋体" w:hAnsi="宋体" w:cs="宋体"/>
          <w:kern w:val="0"/>
          <w:szCs w:val="21"/>
        </w:rPr>
        <w:t>承包人应按照专用合同条款的约定提供应当由其编制的与工程施工有关的文件，并按照专用合同条款约定的期限、数量和形式提交监理人，并由监理人报送发包人。</w:t>
      </w:r>
    </w:p>
    <w:p>
      <w:pPr>
        <w:widowControl w:val="0"/>
        <w:ind w:firstLine="420" w:firstLineChars="200"/>
        <w:jc w:val="left"/>
        <w:rPr>
          <w:rFonts w:ascii="宋体" w:hAnsi="宋体" w:cs="宋体"/>
          <w:kern w:val="0"/>
          <w:szCs w:val="21"/>
        </w:rPr>
      </w:pPr>
      <w:r>
        <w:rPr>
          <w:rFonts w:hint="eastAsia" w:ascii="宋体" w:hAnsi="宋体" w:cs="宋体"/>
          <w:kern w:val="0"/>
          <w:szCs w:val="21"/>
        </w:rPr>
        <w:t>除专用合同条款另有约定外，监理人应在收到承包人文件后7天内审查完毕，监理人对承包人文件有异议的，承包人应予以修改，并重新报送监理人。监理人的审查并不减轻或免除承包人根据合同约定应当承担的责任。</w:t>
      </w:r>
    </w:p>
    <w:p>
      <w:pPr>
        <w:widowControl w:val="0"/>
        <w:ind w:firstLine="420" w:firstLineChars="200"/>
        <w:jc w:val="left"/>
        <w:rPr>
          <w:rFonts w:ascii="宋体" w:hAnsi="宋体" w:cs="宋体"/>
          <w:kern w:val="0"/>
          <w:szCs w:val="21"/>
        </w:rPr>
      </w:pPr>
      <w:r>
        <w:rPr>
          <w:rFonts w:hint="eastAsia" w:ascii="宋体" w:hAnsi="宋体" w:cs="宋体"/>
          <w:kern w:val="0"/>
          <w:szCs w:val="21"/>
        </w:rPr>
        <w:t>1.6.5 图纸和承包人文件的保管</w:t>
      </w:r>
    </w:p>
    <w:p>
      <w:pPr>
        <w:widowControl w:val="0"/>
        <w:ind w:firstLine="420" w:firstLineChars="200"/>
        <w:jc w:val="left"/>
        <w:rPr>
          <w:rFonts w:ascii="宋体" w:hAnsi="宋体" w:cs="宋体"/>
          <w:kern w:val="0"/>
          <w:szCs w:val="21"/>
        </w:rPr>
      </w:pPr>
      <w:r>
        <w:rPr>
          <w:rFonts w:hint="eastAsia" w:ascii="宋体" w:hAnsi="宋体" w:cs="宋体"/>
          <w:kern w:val="0"/>
          <w:szCs w:val="21"/>
        </w:rPr>
        <w:t>除专用合同条款另有约定外，承包人应在施工现场另外保存一套完整的图纸和承包人文件，供发包人、监理人及有关人员进行工程检查时使用。</w:t>
      </w:r>
    </w:p>
    <w:p>
      <w:pPr>
        <w:widowControl w:val="0"/>
        <w:tabs>
          <w:tab w:val="left" w:pos="1008"/>
        </w:tabs>
        <w:jc w:val="left"/>
        <w:outlineLvl w:val="4"/>
        <w:rPr>
          <w:rFonts w:ascii="宋体" w:hAnsi="宋体" w:cs="宋体"/>
          <w:kern w:val="0"/>
          <w:szCs w:val="21"/>
        </w:rPr>
      </w:pPr>
      <w:bookmarkStart w:id="124" w:name="_Toc351203502"/>
      <w:r>
        <w:rPr>
          <w:rFonts w:hint="eastAsia" w:ascii="宋体" w:hAnsi="宋体" w:cs="宋体"/>
          <w:kern w:val="0"/>
          <w:szCs w:val="21"/>
        </w:rPr>
        <w:t>1</w:t>
      </w:r>
      <w:bookmarkStart w:id="125" w:name="_Toc337558733"/>
      <w:bookmarkStart w:id="126" w:name="_Toc296346534"/>
      <w:bookmarkStart w:id="127" w:name="_Toc296503033"/>
      <w:r>
        <w:rPr>
          <w:rFonts w:hint="eastAsia" w:ascii="宋体" w:hAnsi="宋体" w:cs="宋体"/>
          <w:kern w:val="0"/>
          <w:szCs w:val="21"/>
        </w:rPr>
        <w:t>.7联络</w:t>
      </w:r>
      <w:bookmarkEnd w:id="124"/>
    </w:p>
    <w:bookmarkEnd w:id="125"/>
    <w:bookmarkEnd w:id="126"/>
    <w:bookmarkEnd w:id="127"/>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1.7.1 与合同有关的通知、批准、证明、证书、指示、指令、要求、请求、同意、意见、确定和决定等，均应采用书面形式，并应在合同约定的期限内送达接收人和送达地点。</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1.7.2 发包人和承包人应在专用合同条款中约定各自的送达接收人和送达地点。任何一方合同当事人指定的接收人或送达地点发生变动的，应提前3天以书面形式通知对方。</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1.7.3 发包人和承包人应当及时签收另一方送达至送达地点和指定接收人的来往信函。拒不签收的，由此增加的费用和（或）延误的工期由拒绝接收一方承担。</w:t>
      </w:r>
    </w:p>
    <w:p>
      <w:pPr>
        <w:widowControl w:val="0"/>
        <w:tabs>
          <w:tab w:val="left" w:pos="1008"/>
        </w:tabs>
        <w:jc w:val="left"/>
        <w:outlineLvl w:val="4"/>
        <w:rPr>
          <w:rFonts w:ascii="宋体" w:hAnsi="宋体" w:cs="宋体"/>
          <w:kern w:val="0"/>
          <w:szCs w:val="21"/>
        </w:rPr>
      </w:pPr>
      <w:bookmarkStart w:id="128" w:name="_Toc351203503"/>
      <w:r>
        <w:rPr>
          <w:rFonts w:hint="eastAsia" w:ascii="宋体" w:hAnsi="宋体" w:cs="宋体"/>
          <w:kern w:val="0"/>
          <w:szCs w:val="21"/>
        </w:rPr>
        <w:t>1</w:t>
      </w:r>
      <w:bookmarkStart w:id="129" w:name="_Toc296346536"/>
      <w:bookmarkStart w:id="130" w:name="_Toc296503035"/>
      <w:bookmarkStart w:id="131" w:name="_Toc337558734"/>
      <w:r>
        <w:rPr>
          <w:rFonts w:hint="eastAsia" w:ascii="宋体" w:hAnsi="宋体" w:cs="宋体"/>
          <w:kern w:val="0"/>
          <w:szCs w:val="21"/>
        </w:rPr>
        <w:t>.8严禁贿赂</w:t>
      </w:r>
      <w:bookmarkEnd w:id="128"/>
    </w:p>
    <w:bookmarkEnd w:id="129"/>
    <w:bookmarkEnd w:id="130"/>
    <w:bookmarkEnd w:id="131"/>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合同当事人不得以贿赂或变相贿赂的方式，谋取非法利益或损害对方权益。因一方合同当事人的贿赂造成对方损失的，应赔偿损失，并承担相应的法律责任。</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承包人不得与监理人或发包人聘请的第三方串通损害发包人利益。未经发包人书面同意，承包人不得为监理人提供合同约定以外的通讯设备、交通工具及其他任何形式的利益，不得向监理人支付报酬。</w:t>
      </w:r>
    </w:p>
    <w:p>
      <w:pPr>
        <w:widowControl w:val="0"/>
        <w:tabs>
          <w:tab w:val="left" w:pos="1008"/>
        </w:tabs>
        <w:jc w:val="left"/>
        <w:outlineLvl w:val="4"/>
        <w:rPr>
          <w:rFonts w:ascii="宋体" w:hAnsi="宋体" w:cs="宋体"/>
          <w:kern w:val="0"/>
          <w:szCs w:val="21"/>
        </w:rPr>
      </w:pPr>
      <w:bookmarkStart w:id="132" w:name="_Toc351203504"/>
      <w:r>
        <w:rPr>
          <w:rFonts w:hint="eastAsia" w:ascii="宋体" w:hAnsi="宋体" w:cs="宋体"/>
          <w:kern w:val="0"/>
          <w:szCs w:val="21"/>
        </w:rPr>
        <w:t>1</w:t>
      </w:r>
      <w:bookmarkStart w:id="133" w:name="_Toc337558735"/>
      <w:bookmarkStart w:id="134" w:name="_Toc296346537"/>
      <w:bookmarkStart w:id="135" w:name="_Toc296503036"/>
      <w:r>
        <w:rPr>
          <w:rFonts w:hint="eastAsia" w:ascii="宋体" w:hAnsi="宋体" w:cs="宋体"/>
          <w:kern w:val="0"/>
          <w:szCs w:val="21"/>
        </w:rPr>
        <w:t>.9化石、文物</w:t>
      </w:r>
      <w:bookmarkEnd w:id="132"/>
    </w:p>
    <w:bookmarkEnd w:id="133"/>
    <w:bookmarkEnd w:id="134"/>
    <w:bookmarkEnd w:id="135"/>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在施工现场发掘的所有文物、古迹以及具有地质研究或考古价值的其他遗迹、化石、钱币或物品属于国家所有。一旦发现上述文物，承包人应采取合理有效的保护措施，防止任何人员移动或损坏上述物品，并立即报告有关政府行政管理部门，同时通知监理人。</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发包人、监理人和承包人应按有关政府行政管理部门要求采取妥善的保护措施，由此增加的费用和（或）延误的工期由发包人承担。</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承包人发现文物后不及时报告或隐瞒不报，致使文物丢失或损坏的，应赔偿损失，并承担相应的法律责任。</w:t>
      </w:r>
    </w:p>
    <w:p>
      <w:pPr>
        <w:widowControl w:val="0"/>
        <w:tabs>
          <w:tab w:val="left" w:pos="1008"/>
        </w:tabs>
        <w:jc w:val="left"/>
        <w:outlineLvl w:val="4"/>
        <w:rPr>
          <w:rFonts w:ascii="宋体" w:hAnsi="宋体" w:cs="宋体"/>
          <w:kern w:val="0"/>
          <w:szCs w:val="21"/>
        </w:rPr>
      </w:pPr>
      <w:bookmarkStart w:id="136" w:name="_Toc351203505"/>
      <w:r>
        <w:rPr>
          <w:rFonts w:hint="eastAsia" w:ascii="宋体" w:hAnsi="宋体" w:cs="宋体"/>
          <w:kern w:val="0"/>
          <w:szCs w:val="21"/>
        </w:rPr>
        <w:t>1</w:t>
      </w:r>
      <w:bookmarkStart w:id="137" w:name="_Toc337558736"/>
      <w:r>
        <w:rPr>
          <w:rFonts w:hint="eastAsia" w:ascii="宋体" w:hAnsi="宋体" w:cs="宋体"/>
          <w:kern w:val="0"/>
          <w:szCs w:val="21"/>
        </w:rPr>
        <w:t>.10交通运输</w:t>
      </w:r>
      <w:bookmarkEnd w:id="136"/>
    </w:p>
    <w:bookmarkEnd w:id="137"/>
    <w:p>
      <w:pPr>
        <w:widowControl w:val="0"/>
        <w:ind w:firstLine="420" w:firstLineChars="200"/>
        <w:jc w:val="left"/>
        <w:rPr>
          <w:rFonts w:ascii="宋体" w:hAnsi="宋体" w:cs="宋体"/>
          <w:kern w:val="0"/>
          <w:szCs w:val="21"/>
        </w:rPr>
      </w:pPr>
      <w:r>
        <w:rPr>
          <w:rFonts w:hint="eastAsia" w:ascii="宋体" w:hAnsi="宋体" w:cs="宋体"/>
          <w:kern w:val="0"/>
          <w:szCs w:val="21"/>
        </w:rPr>
        <w:t>1.10.1出入现场的权利</w:t>
      </w:r>
    </w:p>
    <w:p>
      <w:pPr>
        <w:widowControl w:val="0"/>
        <w:ind w:firstLine="420" w:firstLineChars="200"/>
        <w:jc w:val="left"/>
        <w:rPr>
          <w:rFonts w:ascii="宋体" w:hAnsi="宋体" w:cs="宋体"/>
          <w:kern w:val="0"/>
          <w:szCs w:val="21"/>
        </w:rPr>
      </w:pPr>
      <w:r>
        <w:rPr>
          <w:rFonts w:hint="eastAsia" w:ascii="宋体" w:hAnsi="宋体" w:cs="宋体"/>
          <w:kern w:val="0"/>
          <w:szCs w:val="21"/>
        </w:rPr>
        <w:t>除专用合同条款另有约定外，发包人应根据施工需要，负责取得出入施工现场所需的批准手续和全部权利，以及取得因施工所需修建道路、桥梁以及其他基础设施的权利，并承担相关手续费用和建设费用。承包人应协助发包人办理修建场内外道路、桥梁以及其他基础设施的手续。</w:t>
      </w:r>
    </w:p>
    <w:p>
      <w:pPr>
        <w:widowControl w:val="0"/>
        <w:ind w:firstLine="420" w:firstLineChars="200"/>
        <w:jc w:val="left"/>
        <w:rPr>
          <w:rFonts w:ascii="宋体" w:hAnsi="宋体" w:cs="宋体"/>
          <w:kern w:val="0"/>
          <w:szCs w:val="21"/>
        </w:rPr>
      </w:pPr>
      <w:r>
        <w:rPr>
          <w:rFonts w:hint="eastAsia" w:ascii="宋体" w:hAnsi="宋体" w:cs="宋体"/>
          <w:kern w:val="0"/>
          <w:szCs w:val="21"/>
        </w:rPr>
        <w:t>承包人应在订立合同前查勘施工现场，并根据工程规模及技术参数合理预见工程施工所需的进出施工现场的方式、手段、路径等。因承包人未合理预见所增加的费用和（或）延误的工期由承包人承担。</w:t>
      </w:r>
    </w:p>
    <w:p>
      <w:pPr>
        <w:widowControl w:val="0"/>
        <w:ind w:firstLine="420" w:firstLineChars="200"/>
        <w:jc w:val="left"/>
        <w:rPr>
          <w:rFonts w:ascii="宋体" w:hAnsi="宋体" w:cs="宋体"/>
          <w:kern w:val="0"/>
          <w:szCs w:val="21"/>
        </w:rPr>
      </w:pPr>
      <w:r>
        <w:rPr>
          <w:rFonts w:hint="eastAsia" w:ascii="宋体" w:hAnsi="宋体" w:cs="宋体"/>
          <w:kern w:val="0"/>
          <w:szCs w:val="21"/>
        </w:rPr>
        <w:t>1.10.2场外交通</w:t>
      </w:r>
    </w:p>
    <w:p>
      <w:pPr>
        <w:widowControl w:val="0"/>
        <w:ind w:firstLine="420" w:firstLineChars="200"/>
        <w:jc w:val="left"/>
        <w:rPr>
          <w:rFonts w:ascii="宋体" w:hAnsi="宋体" w:cs="宋体"/>
          <w:kern w:val="0"/>
          <w:szCs w:val="21"/>
        </w:rPr>
      </w:pPr>
      <w:r>
        <w:rPr>
          <w:rFonts w:hint="eastAsia" w:ascii="宋体" w:hAnsi="宋体" w:cs="宋体"/>
          <w:kern w:val="0"/>
          <w:szCs w:val="21"/>
        </w:rPr>
        <w:t>发包人应提供场外交通设施的技术参数和具体条件，承包人应遵守有关交通法规，严格按照道路和桥梁的限制荷载行驶，执行有关道路限速、限行、禁止超载的规定，并配合交通管理部门的监督和检查。场外交通设施无法满足工程施工需要的，由发包人负责完善并承担相关费用。</w:t>
      </w:r>
    </w:p>
    <w:p>
      <w:pPr>
        <w:widowControl w:val="0"/>
        <w:ind w:firstLine="420" w:firstLineChars="200"/>
        <w:jc w:val="left"/>
        <w:rPr>
          <w:rFonts w:ascii="宋体" w:hAnsi="宋体" w:cs="宋体"/>
          <w:kern w:val="0"/>
          <w:szCs w:val="21"/>
        </w:rPr>
      </w:pPr>
      <w:r>
        <w:rPr>
          <w:rFonts w:hint="eastAsia" w:ascii="宋体" w:hAnsi="宋体" w:cs="宋体"/>
          <w:kern w:val="0"/>
          <w:szCs w:val="21"/>
        </w:rPr>
        <w:t>1.10.3场内交通</w:t>
      </w:r>
    </w:p>
    <w:p>
      <w:pPr>
        <w:widowControl w:val="0"/>
        <w:ind w:firstLine="420" w:firstLineChars="200"/>
        <w:jc w:val="left"/>
        <w:rPr>
          <w:rFonts w:ascii="宋体" w:hAnsi="宋体" w:cs="宋体"/>
          <w:kern w:val="0"/>
          <w:szCs w:val="21"/>
        </w:rPr>
      </w:pPr>
      <w:r>
        <w:rPr>
          <w:rFonts w:hint="eastAsia" w:ascii="宋体" w:hAnsi="宋体" w:cs="宋体"/>
          <w:kern w:val="0"/>
          <w:szCs w:val="21"/>
        </w:rPr>
        <w:t>发包人应提供场内交通设施的技术参数和具体条件，并应按照专用合同条款的约定向承包人免费提供满足工程施工所需的场内道路和交通设施。因承包人原因造成上述道路或交通设施损坏的，承包人负责修复并承担由此增加的费用。</w:t>
      </w:r>
    </w:p>
    <w:p>
      <w:pPr>
        <w:widowControl w:val="0"/>
        <w:ind w:firstLine="420" w:firstLineChars="200"/>
        <w:jc w:val="left"/>
        <w:rPr>
          <w:rFonts w:ascii="宋体" w:hAnsi="宋体" w:cs="宋体"/>
          <w:kern w:val="0"/>
          <w:szCs w:val="21"/>
        </w:rPr>
      </w:pPr>
      <w:r>
        <w:rPr>
          <w:rFonts w:hint="eastAsia" w:ascii="宋体" w:hAnsi="宋体" w:cs="宋体"/>
          <w:kern w:val="0"/>
          <w:szCs w:val="21"/>
        </w:rPr>
        <w:t>除发包人按照合同约定提供的场内道路和交通设施外，承包人负责修建、维修、养护和管理施工所需的其他场内临时道路和交通设施。发包人和监理人可以为实现合同目的使用承包人修建的场内临时道路和交通设施。</w:t>
      </w:r>
    </w:p>
    <w:p>
      <w:pPr>
        <w:widowControl w:val="0"/>
        <w:ind w:firstLine="420" w:firstLineChars="200"/>
        <w:jc w:val="left"/>
        <w:rPr>
          <w:rFonts w:ascii="宋体" w:hAnsi="宋体" w:cs="宋体"/>
          <w:kern w:val="0"/>
          <w:szCs w:val="21"/>
        </w:rPr>
      </w:pPr>
      <w:r>
        <w:rPr>
          <w:rFonts w:hint="eastAsia" w:ascii="宋体" w:hAnsi="宋体" w:cs="宋体"/>
          <w:kern w:val="0"/>
          <w:szCs w:val="21"/>
        </w:rPr>
        <w:t>场外交通和场内交通的边界由合同当事人在专用合同条款中约定。</w:t>
      </w:r>
    </w:p>
    <w:p>
      <w:pPr>
        <w:widowControl w:val="0"/>
        <w:ind w:firstLine="420" w:firstLineChars="200"/>
        <w:jc w:val="left"/>
        <w:rPr>
          <w:rFonts w:ascii="宋体" w:hAnsi="宋体" w:cs="宋体"/>
          <w:kern w:val="0"/>
          <w:szCs w:val="21"/>
        </w:rPr>
      </w:pPr>
      <w:r>
        <w:rPr>
          <w:rFonts w:hint="eastAsia" w:ascii="宋体" w:hAnsi="宋体" w:cs="宋体"/>
          <w:kern w:val="0"/>
          <w:szCs w:val="21"/>
        </w:rPr>
        <w:t>1.10.4超大件和超重件的运输</w:t>
      </w:r>
    </w:p>
    <w:p>
      <w:pPr>
        <w:widowControl w:val="0"/>
        <w:ind w:firstLine="420" w:firstLineChars="200"/>
        <w:jc w:val="left"/>
        <w:rPr>
          <w:rFonts w:ascii="宋体" w:hAnsi="宋体" w:cs="宋体"/>
          <w:kern w:val="0"/>
          <w:szCs w:val="21"/>
        </w:rPr>
      </w:pPr>
      <w:r>
        <w:rPr>
          <w:rFonts w:hint="eastAsia" w:ascii="宋体" w:hAnsi="宋体" w:cs="宋体"/>
          <w:kern w:val="0"/>
          <w:szCs w:val="21"/>
        </w:rPr>
        <w:t>由承包人负责运输的超大件或超重件，应由承包人负责向交通管理部门办理申请手续，发包人给予协助。运输超大件或超重件所需的道路和桥梁临时加固改造费用和其他有关费用，由承包人承担，但专用合同条款另有约定除外。</w:t>
      </w:r>
    </w:p>
    <w:p>
      <w:pPr>
        <w:widowControl w:val="0"/>
        <w:ind w:firstLine="420" w:firstLineChars="200"/>
        <w:jc w:val="left"/>
        <w:rPr>
          <w:rFonts w:ascii="宋体" w:hAnsi="宋体" w:cs="宋体"/>
          <w:kern w:val="0"/>
          <w:szCs w:val="21"/>
        </w:rPr>
      </w:pPr>
      <w:r>
        <w:rPr>
          <w:rFonts w:hint="eastAsia" w:ascii="宋体" w:hAnsi="宋体" w:cs="宋体"/>
          <w:kern w:val="0"/>
          <w:szCs w:val="21"/>
        </w:rPr>
        <w:t>1.10.5道路和桥梁的损坏责任</w:t>
      </w:r>
    </w:p>
    <w:p>
      <w:pPr>
        <w:widowControl w:val="0"/>
        <w:ind w:firstLine="420" w:firstLineChars="200"/>
        <w:jc w:val="left"/>
        <w:rPr>
          <w:rFonts w:ascii="宋体" w:hAnsi="宋体" w:cs="宋体"/>
          <w:kern w:val="0"/>
          <w:szCs w:val="21"/>
        </w:rPr>
      </w:pPr>
      <w:r>
        <w:rPr>
          <w:rFonts w:hint="eastAsia" w:ascii="宋体" w:hAnsi="宋体" w:cs="宋体"/>
          <w:kern w:val="0"/>
          <w:szCs w:val="21"/>
        </w:rPr>
        <w:t>因承包人运输造成施工场地内外公共道路和桥梁损坏的，由承包人承担修复损坏的全部费用和可能引起的赔偿。</w:t>
      </w:r>
    </w:p>
    <w:p>
      <w:pPr>
        <w:widowControl w:val="0"/>
        <w:ind w:firstLine="420" w:firstLineChars="200"/>
        <w:jc w:val="left"/>
        <w:rPr>
          <w:rFonts w:ascii="宋体" w:hAnsi="宋体" w:cs="宋体"/>
          <w:kern w:val="0"/>
          <w:szCs w:val="21"/>
        </w:rPr>
      </w:pPr>
      <w:r>
        <w:rPr>
          <w:rFonts w:hint="eastAsia" w:ascii="宋体" w:hAnsi="宋体" w:cs="宋体"/>
          <w:kern w:val="0"/>
          <w:szCs w:val="21"/>
        </w:rPr>
        <w:t>1.10.6水路和航空运输</w:t>
      </w:r>
    </w:p>
    <w:p>
      <w:pPr>
        <w:widowControl w:val="0"/>
        <w:ind w:firstLine="420" w:firstLineChars="200"/>
        <w:jc w:val="left"/>
        <w:rPr>
          <w:rFonts w:ascii="宋体" w:hAnsi="宋体" w:cs="宋体"/>
          <w:kern w:val="0"/>
          <w:szCs w:val="21"/>
        </w:rPr>
      </w:pPr>
      <w:r>
        <w:rPr>
          <w:rFonts w:hint="eastAsia" w:ascii="宋体" w:hAnsi="宋体" w:cs="宋体"/>
          <w:kern w:val="0"/>
          <w:szCs w:val="21"/>
        </w:rPr>
        <w:t>本款前述各项的内容适用于水路运输和航空运输，其中“道路”一词的涵义包括河道、航线、船闸、机场、码头、堤防以及水路或航空运输中其他相似结构物；“车辆”一词的涵义包括船舶和飞机等。</w:t>
      </w:r>
    </w:p>
    <w:p>
      <w:pPr>
        <w:widowControl w:val="0"/>
        <w:tabs>
          <w:tab w:val="left" w:pos="1008"/>
        </w:tabs>
        <w:jc w:val="left"/>
        <w:outlineLvl w:val="4"/>
        <w:rPr>
          <w:rFonts w:ascii="宋体" w:hAnsi="宋体" w:cs="宋体"/>
          <w:kern w:val="0"/>
          <w:szCs w:val="21"/>
        </w:rPr>
      </w:pPr>
      <w:bookmarkStart w:id="138" w:name="_Toc351203506"/>
      <w:r>
        <w:rPr>
          <w:rFonts w:hint="eastAsia" w:ascii="宋体" w:hAnsi="宋体" w:cs="宋体"/>
          <w:kern w:val="0"/>
          <w:szCs w:val="21"/>
        </w:rPr>
        <w:t>1</w:t>
      </w:r>
      <w:bookmarkStart w:id="139" w:name="_Toc337558737"/>
      <w:bookmarkStart w:id="140" w:name="_Toc296346538"/>
      <w:bookmarkStart w:id="141" w:name="_Toc296503037"/>
      <w:r>
        <w:rPr>
          <w:rFonts w:hint="eastAsia" w:ascii="宋体" w:hAnsi="宋体" w:cs="宋体"/>
          <w:kern w:val="0"/>
          <w:szCs w:val="21"/>
        </w:rPr>
        <w:t>.11知识产权</w:t>
      </w:r>
      <w:bookmarkEnd w:id="138"/>
      <w:bookmarkEnd w:id="139"/>
    </w:p>
    <w:bookmarkEnd w:id="140"/>
    <w:bookmarkEnd w:id="141"/>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1.11.1 除专用合同条款另有约定外，发包人提供给承包人的图纸、发包人为实施工程自行编制或委托编制的技术规范以及反映发包人要求的或其他类似性质的文件的著作权属于发包人，承包人可以为实现合同目的而复制、使用此类文件，但不能用于与合同无关的其他事项。未经发包人书面同意，承包人不得为了合同以外的目的而复制、使用上述文件或将之提供给任何第三方。</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1.11.2 除专用合同条款另有约定外，承包人为实施工程所编制的文件，除署名权以外的著作权属于发包人，承包人可因实施工程的运行、调试、维修、改造等目的而复制、使用此类文件，但不能用于与合同无关的其他事项。未经发包人书面同意，承包人不得为了合同以外的目的而复制、使用上述文件或将之提供给任何第三方。</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1.11.3 合同当事人保证在履行合同过程中不侵犯对方及第三方的知识产权。承包人在使用材料、施工设备、工程设备或采用施工工艺时，因侵犯他人的专利权或其他知识产权所引起的责任，由承包人承担；因发包人提供的材料、施工设备、工程设备或施工工艺导致侵权的，由发包人承担责任。</w:t>
      </w:r>
    </w:p>
    <w:p>
      <w:pPr>
        <w:widowControl w:val="0"/>
        <w:ind w:firstLine="420" w:firstLineChars="200"/>
        <w:rPr>
          <w:rFonts w:ascii="宋体" w:hAnsi="宋体" w:cs="宋体"/>
          <w:szCs w:val="21"/>
        </w:rPr>
      </w:pPr>
      <w:r>
        <w:rPr>
          <w:rFonts w:hint="eastAsia" w:ascii="宋体" w:hAnsi="宋体" w:cs="宋体"/>
          <w:szCs w:val="21"/>
        </w:rPr>
        <w:t>1.11.4 除专用合同条款另有约定外，承包人在合同签订前和签订时已确定采用的专利、专有技术、技术秘密的使用费已包含在签约合同价中。</w:t>
      </w:r>
    </w:p>
    <w:p>
      <w:pPr>
        <w:widowControl w:val="0"/>
        <w:tabs>
          <w:tab w:val="left" w:pos="1008"/>
        </w:tabs>
        <w:jc w:val="left"/>
        <w:outlineLvl w:val="4"/>
        <w:rPr>
          <w:rFonts w:ascii="宋体" w:hAnsi="宋体" w:cs="宋体"/>
          <w:kern w:val="0"/>
          <w:szCs w:val="21"/>
        </w:rPr>
      </w:pPr>
      <w:bookmarkStart w:id="142" w:name="_Toc351203507"/>
      <w:r>
        <w:rPr>
          <w:rFonts w:hint="eastAsia" w:ascii="宋体" w:hAnsi="宋体" w:cs="宋体"/>
          <w:kern w:val="0"/>
          <w:szCs w:val="21"/>
        </w:rPr>
        <w:t>1</w:t>
      </w:r>
      <w:bookmarkStart w:id="143" w:name="_Toc337558738"/>
      <w:r>
        <w:rPr>
          <w:rFonts w:hint="eastAsia" w:ascii="宋体" w:hAnsi="宋体" w:cs="宋体"/>
          <w:kern w:val="0"/>
          <w:szCs w:val="21"/>
        </w:rPr>
        <w:t>.12保密</w:t>
      </w:r>
      <w:bookmarkEnd w:id="142"/>
    </w:p>
    <w:bookmarkEnd w:id="143"/>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除法律规定或合同另有约定外，未经发包人同意，承包人不得将发包人提供的图纸、文件以及声明需要保密的资料信息等商业秘密泄露给第三方。</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除法律规定或合同另有约定外，未经承包人同意，发包人不得将承包人提供的技术秘密及声明需要保密的资料信息等商业秘密泄露给第三方。</w:t>
      </w:r>
    </w:p>
    <w:p>
      <w:pPr>
        <w:widowControl w:val="0"/>
        <w:tabs>
          <w:tab w:val="left" w:pos="1008"/>
        </w:tabs>
        <w:jc w:val="left"/>
        <w:outlineLvl w:val="4"/>
        <w:rPr>
          <w:rFonts w:ascii="宋体" w:hAnsi="宋体" w:cs="宋体"/>
          <w:kern w:val="0"/>
          <w:szCs w:val="21"/>
        </w:rPr>
      </w:pPr>
      <w:bookmarkStart w:id="144" w:name="_Toc351203508"/>
      <w:r>
        <w:rPr>
          <w:rFonts w:hint="eastAsia" w:ascii="宋体" w:hAnsi="宋体" w:cs="宋体"/>
          <w:kern w:val="0"/>
          <w:szCs w:val="21"/>
        </w:rPr>
        <w:t>1.13工程量清单错误的修正</w:t>
      </w:r>
      <w:bookmarkEnd w:id="144"/>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除专用合同条款另有约定外，发包人提供的工程量清单，应被认为是准确的和完整的。出现下列情形之一时，发包人应予以修正，并相应调整合同价格：</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（1）工程量清单存在缺项、漏项的；</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（2）工程量清单偏差超出专用合同条款约定的工程量偏差范围的；</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（3）未按照国家现行计量规范强制性规定计量的。</w:t>
      </w:r>
    </w:p>
    <w:p>
      <w:pPr>
        <w:widowControl w:val="0"/>
        <w:tabs>
          <w:tab w:val="left" w:pos="864"/>
        </w:tabs>
        <w:jc w:val="left"/>
        <w:outlineLvl w:val="3"/>
        <w:rPr>
          <w:rFonts w:ascii="宋体" w:hAnsi="宋体" w:cs="宋体"/>
          <w:kern w:val="0"/>
          <w:szCs w:val="21"/>
        </w:rPr>
      </w:pPr>
      <w:bookmarkStart w:id="145" w:name="_Toc351203509"/>
      <w:r>
        <w:rPr>
          <w:rFonts w:hint="eastAsia" w:ascii="宋体" w:hAnsi="宋体" w:cs="宋体"/>
          <w:kern w:val="0"/>
          <w:szCs w:val="21"/>
        </w:rPr>
        <w:t>2</w:t>
      </w:r>
      <w:bookmarkStart w:id="146" w:name="_Toc296503038"/>
      <w:bookmarkStart w:id="147" w:name="_Toc296346539"/>
      <w:bookmarkStart w:id="148" w:name="_Toc337558739"/>
      <w:bookmarkStart w:id="149" w:name="OLE_LINK1"/>
      <w:bookmarkStart w:id="150" w:name="OLE_LINK2"/>
      <w:r>
        <w:rPr>
          <w:rFonts w:hint="eastAsia" w:ascii="宋体" w:hAnsi="宋体" w:cs="宋体"/>
          <w:kern w:val="0"/>
          <w:szCs w:val="21"/>
        </w:rPr>
        <w:t>. 发包人</w:t>
      </w:r>
      <w:bookmarkEnd w:id="145"/>
    </w:p>
    <w:bookmarkEnd w:id="146"/>
    <w:bookmarkEnd w:id="147"/>
    <w:bookmarkEnd w:id="148"/>
    <w:p>
      <w:pPr>
        <w:widowControl w:val="0"/>
        <w:tabs>
          <w:tab w:val="left" w:pos="1008"/>
        </w:tabs>
        <w:jc w:val="left"/>
        <w:outlineLvl w:val="4"/>
        <w:rPr>
          <w:rFonts w:ascii="宋体" w:hAnsi="宋体" w:cs="宋体"/>
          <w:kern w:val="0"/>
          <w:szCs w:val="21"/>
        </w:rPr>
      </w:pPr>
      <w:bookmarkStart w:id="151" w:name="_Toc351203510"/>
      <w:r>
        <w:rPr>
          <w:rFonts w:hint="eastAsia" w:ascii="宋体" w:hAnsi="宋体" w:cs="宋体"/>
          <w:kern w:val="0"/>
          <w:szCs w:val="21"/>
        </w:rPr>
        <w:t>2</w:t>
      </w:r>
      <w:bookmarkStart w:id="152" w:name="_Toc296503039"/>
      <w:bookmarkStart w:id="153" w:name="_Toc296346540"/>
      <w:bookmarkStart w:id="154" w:name="_Toc337558740"/>
      <w:r>
        <w:rPr>
          <w:rFonts w:hint="eastAsia" w:ascii="宋体" w:hAnsi="宋体" w:cs="宋体"/>
          <w:kern w:val="0"/>
          <w:szCs w:val="21"/>
        </w:rPr>
        <w:t>.1 许可或批准</w:t>
      </w:r>
      <w:bookmarkEnd w:id="151"/>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应遵守法律，并办理法律规定由其办理的许可、批准或备案，包括但不限于建设用地规划许可证、建设工程规划许可证、建设工程施工许可证、施工所需临时用水、临时用电、中断道路交通、临时占用土地等许可和批准。发包人应协助承包人办理法律规定的有关施工证件和批件。</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因发包人原因未能及时办理完毕前述许可、批准或备案，由发包人承担由此增加的费用和（或）延误的工期，并支付承包人合理的利润。</w:t>
      </w:r>
    </w:p>
    <w:p>
      <w:pPr>
        <w:widowControl w:val="0"/>
        <w:tabs>
          <w:tab w:val="left" w:pos="1008"/>
        </w:tabs>
        <w:jc w:val="left"/>
        <w:outlineLvl w:val="4"/>
        <w:rPr>
          <w:rFonts w:ascii="宋体" w:hAnsi="宋体" w:cs="宋体"/>
          <w:kern w:val="0"/>
          <w:szCs w:val="21"/>
        </w:rPr>
      </w:pPr>
      <w:bookmarkStart w:id="155" w:name="_Toc351203511"/>
      <w:r>
        <w:rPr>
          <w:rFonts w:hint="eastAsia" w:ascii="宋体" w:hAnsi="宋体" w:cs="宋体"/>
          <w:kern w:val="0"/>
          <w:szCs w:val="21"/>
        </w:rPr>
        <w:t>2.2 发包人代表</w:t>
      </w:r>
      <w:bookmarkEnd w:id="155"/>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应在专用合同条款中明确其派驻施工现场的发包人代表的姓名、职务、联系方式及授权范围等事项。发包人代表在发包人的授权范围内，负责处理合同履行过程中与发包人有关的具体事宜。发包人代表在授权范围内的行为由发包人承担法律责任。发包人更换发包人代表的，应提前7天书面通知承包人。</w:t>
      </w:r>
    </w:p>
    <w:p>
      <w:pPr>
        <w:widowControl w:val="0"/>
        <w:ind w:firstLine="420" w:firstLineChars="200"/>
        <w:rPr>
          <w:rFonts w:ascii="宋体" w:hAnsi="宋体" w:cs="宋体"/>
          <w:kern w:val="0"/>
          <w:szCs w:val="21"/>
        </w:rPr>
      </w:pPr>
      <w:r>
        <w:rPr>
          <w:rFonts w:hint="eastAsia" w:ascii="宋体" w:hAnsi="宋体" w:cs="宋体"/>
          <w:kern w:val="0"/>
          <w:szCs w:val="21"/>
        </w:rPr>
        <w:t>发包人代表不能按照合同约定履行其职责及义务，并导致合同无法继续正常履行的，承包人可以要求发包人撤换发包人代表。</w:t>
      </w:r>
    </w:p>
    <w:p>
      <w:pPr>
        <w:widowControl w:val="0"/>
        <w:ind w:firstLine="420" w:firstLineChars="200"/>
        <w:rPr>
          <w:rFonts w:ascii="宋体" w:hAnsi="宋体" w:cs="宋体"/>
          <w:szCs w:val="21"/>
        </w:rPr>
      </w:pPr>
      <w:r>
        <w:rPr>
          <w:rFonts w:hint="eastAsia" w:ascii="宋体" w:hAnsi="宋体" w:cs="宋体"/>
          <w:kern w:val="0"/>
          <w:szCs w:val="21"/>
        </w:rPr>
        <w:t>不属于法定必须监理的工程，监理人的职权可以由发包人代表或发包人指定的其他人员行使。</w:t>
      </w:r>
    </w:p>
    <w:p>
      <w:pPr>
        <w:keepNext/>
        <w:keepLines/>
        <w:tabs>
          <w:tab w:val="left" w:pos="1008"/>
        </w:tabs>
        <w:jc w:val="left"/>
        <w:outlineLvl w:val="4"/>
        <w:rPr>
          <w:rFonts w:ascii="宋体" w:hAnsi="宋体" w:cs="宋体"/>
          <w:kern w:val="0"/>
          <w:szCs w:val="21"/>
        </w:rPr>
      </w:pPr>
      <w:bookmarkStart w:id="156" w:name="_Toc351203512"/>
      <w:r>
        <w:rPr>
          <w:rFonts w:hint="eastAsia" w:ascii="宋体" w:hAnsi="宋体" w:cs="宋体"/>
          <w:kern w:val="0"/>
          <w:szCs w:val="21"/>
        </w:rPr>
        <w:t>2.3 发包人人员</w:t>
      </w:r>
      <w:bookmarkEnd w:id="156"/>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发包人应要求在施工现场的发包人人员遵守法律及有关安全、质量、环境保护、文明施工等规定，并保障承包人免于承受因发包人人员未遵守上述要求给承包人造成的损失和责任。</w:t>
      </w:r>
    </w:p>
    <w:p>
      <w:pPr>
        <w:ind w:firstLine="640"/>
        <w:jc w:val="left"/>
        <w:rPr>
          <w:rFonts w:ascii="宋体" w:hAnsi="宋体" w:cs="宋体"/>
          <w:kern w:val="0"/>
          <w:szCs w:val="21"/>
        </w:rPr>
      </w:pPr>
      <w:r>
        <w:rPr>
          <w:rFonts w:hint="eastAsia" w:ascii="宋体" w:hAnsi="宋体" w:cs="宋体"/>
          <w:kern w:val="0"/>
          <w:szCs w:val="21"/>
        </w:rPr>
        <w:t>发包人人员包括发包人代表及其他由发包人派驻施工现场的人员。</w:t>
      </w:r>
      <w:bookmarkEnd w:id="152"/>
      <w:bookmarkEnd w:id="153"/>
      <w:bookmarkEnd w:id="154"/>
    </w:p>
    <w:p>
      <w:pPr>
        <w:keepNext/>
        <w:keepLines/>
        <w:tabs>
          <w:tab w:val="left" w:pos="1008"/>
        </w:tabs>
        <w:jc w:val="left"/>
        <w:outlineLvl w:val="4"/>
        <w:rPr>
          <w:rFonts w:ascii="宋体" w:hAnsi="宋体" w:cs="宋体"/>
          <w:kern w:val="0"/>
          <w:szCs w:val="21"/>
        </w:rPr>
      </w:pPr>
      <w:bookmarkStart w:id="157" w:name="_Toc351203513"/>
      <w:r>
        <w:rPr>
          <w:rFonts w:hint="eastAsia" w:ascii="宋体" w:hAnsi="宋体" w:cs="宋体"/>
          <w:kern w:val="0"/>
          <w:szCs w:val="21"/>
        </w:rPr>
        <w:t>2</w:t>
      </w:r>
      <w:bookmarkStart w:id="158" w:name="_Toc337558741"/>
      <w:bookmarkStart w:id="159" w:name="_Toc296346541"/>
      <w:bookmarkStart w:id="160" w:name="_Toc296503040"/>
      <w:r>
        <w:rPr>
          <w:rFonts w:hint="eastAsia" w:ascii="宋体" w:hAnsi="宋体" w:cs="宋体"/>
          <w:kern w:val="0"/>
          <w:szCs w:val="21"/>
        </w:rPr>
        <w:t>.4 施工现场、施工条件和基础资料的提供</w:t>
      </w:r>
      <w:bookmarkEnd w:id="157"/>
      <w:bookmarkEnd w:id="158"/>
      <w:bookmarkEnd w:id="159"/>
      <w:bookmarkEnd w:id="160"/>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2.4.1 提供施工现场</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w:t>
      </w:r>
      <w:bookmarkEnd w:id="149"/>
      <w:bookmarkEnd w:id="150"/>
      <w:r>
        <w:rPr>
          <w:rFonts w:hint="eastAsia" w:ascii="宋体" w:hAnsi="宋体" w:cs="宋体"/>
          <w:kern w:val="0"/>
          <w:szCs w:val="21"/>
        </w:rPr>
        <w:t>专用合同条款另有约定外，发包人应最迟于开工日期7天前向承包人移交施工现场。</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2.4.2 提供施工条件</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除专用合同条款另有约定外，发包人应负责提供施工所需要的条件，包括：</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（1）将施工用水、电力、通讯线路等施工所必需的条件接至施工现场内；</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（2）保证向承包人提供正常施工所需要的进入施工现场的交通条件；</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（3）协调处理施工现场周围地下管线和邻近建筑物、构筑物、古树名木的保护工作，并承担相关费用；</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（4）按照专用合同条款约定应提供的其他设施和条件。</w:t>
      </w:r>
    </w:p>
    <w:p>
      <w:pPr>
        <w:autoSpaceDE w:val="0"/>
        <w:autoSpaceDN w:val="0"/>
        <w:adjustRightInd w:val="0"/>
        <w:ind w:firstLine="420" w:firstLineChars="200"/>
        <w:jc w:val="left"/>
        <w:rPr>
          <w:rFonts w:ascii="宋体" w:hAnsi="宋体" w:cs="宋体"/>
          <w:szCs w:val="21"/>
        </w:rPr>
      </w:pPr>
      <w:r>
        <w:rPr>
          <w:rFonts w:hint="eastAsia" w:ascii="宋体" w:hAnsi="宋体" w:cs="宋体"/>
          <w:kern w:val="0"/>
          <w:szCs w:val="21"/>
        </w:rPr>
        <w:t>2.4.3 提供基础资料</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应当在移交施工现场前向承包人提供施工现场及工程施工所必需的毗邻区域内供水、排水、供电、供气、供热、通信、广播电视等地下管线资料，气象和水文观测资料，地质勘察资料，相邻建筑物、构筑物和地下工程等有关基础资料，并对所提供资料的真实性、准确性和完整性负责。</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按照法律规定确需在开工后方能提供的基础资料，发包人应尽其努力及时地在相应工程施工前的合理期限内提供，合理期限应以不影响承包人的正常施工为限。</w:t>
      </w:r>
    </w:p>
    <w:p>
      <w:pPr>
        <w:ind w:firstLine="420" w:firstLineChars="200"/>
        <w:jc w:val="left"/>
        <w:rPr>
          <w:rFonts w:ascii="宋体" w:hAnsi="宋体" w:cs="宋体"/>
          <w:kern w:val="0"/>
          <w:szCs w:val="21"/>
        </w:rPr>
      </w:pPr>
      <w:r>
        <w:rPr>
          <w:rFonts w:hint="eastAsia" w:ascii="宋体" w:hAnsi="宋体" w:cs="宋体"/>
          <w:kern w:val="0"/>
          <w:szCs w:val="21"/>
        </w:rPr>
        <w:t>2.4.4 逾期提供的责任</w:t>
      </w:r>
    </w:p>
    <w:p>
      <w:pPr>
        <w:ind w:firstLine="420" w:firstLineChars="200"/>
        <w:jc w:val="left"/>
        <w:rPr>
          <w:rFonts w:ascii="宋体" w:hAnsi="宋体" w:cs="宋体"/>
          <w:kern w:val="0"/>
          <w:szCs w:val="21"/>
        </w:rPr>
      </w:pPr>
      <w:r>
        <w:rPr>
          <w:rFonts w:hint="eastAsia" w:ascii="宋体" w:hAnsi="宋体" w:cs="宋体"/>
          <w:kern w:val="0"/>
          <w:szCs w:val="21"/>
        </w:rPr>
        <w:t>因发包人原因未能按合同约定及时向承包人提供施工现场、施工条件、基础资料的，由发包人承担由此增加的费用和（或）延误的工期。</w:t>
      </w:r>
    </w:p>
    <w:p>
      <w:pPr>
        <w:keepNext/>
        <w:keepLines/>
        <w:tabs>
          <w:tab w:val="left" w:pos="1008"/>
        </w:tabs>
        <w:jc w:val="left"/>
        <w:outlineLvl w:val="4"/>
        <w:rPr>
          <w:rFonts w:ascii="宋体" w:hAnsi="宋体" w:cs="宋体"/>
          <w:kern w:val="0"/>
          <w:szCs w:val="21"/>
        </w:rPr>
      </w:pPr>
      <w:bookmarkStart w:id="161" w:name="_Toc351203514"/>
      <w:r>
        <w:rPr>
          <w:rFonts w:hint="eastAsia" w:ascii="宋体" w:hAnsi="宋体" w:cs="宋体"/>
          <w:kern w:val="0"/>
          <w:szCs w:val="21"/>
        </w:rPr>
        <w:t>2</w:t>
      </w:r>
      <w:bookmarkStart w:id="162" w:name="_Toc296503042"/>
      <w:bookmarkStart w:id="163" w:name="_Toc337558745"/>
      <w:bookmarkStart w:id="164" w:name="_Toc296346543"/>
      <w:r>
        <w:rPr>
          <w:rFonts w:hint="eastAsia" w:ascii="宋体" w:hAnsi="宋体" w:cs="宋体"/>
          <w:kern w:val="0"/>
          <w:szCs w:val="21"/>
        </w:rPr>
        <w:t>.5 资</w:t>
      </w:r>
      <w:bookmarkEnd w:id="162"/>
      <w:bookmarkEnd w:id="163"/>
      <w:bookmarkEnd w:id="164"/>
      <w:r>
        <w:rPr>
          <w:rFonts w:hint="eastAsia" w:ascii="宋体" w:hAnsi="宋体" w:cs="宋体"/>
          <w:kern w:val="0"/>
          <w:szCs w:val="21"/>
        </w:rPr>
        <w:t>金来源证明及支付担保</w:t>
      </w:r>
      <w:bookmarkEnd w:id="161"/>
    </w:p>
    <w:p>
      <w:pPr>
        <w:ind w:firstLine="420" w:firstLineChars="200"/>
        <w:jc w:val="left"/>
        <w:rPr>
          <w:rFonts w:ascii="宋体" w:hAnsi="宋体" w:cs="宋体"/>
          <w:kern w:val="0"/>
          <w:szCs w:val="21"/>
        </w:rPr>
      </w:pPr>
      <w:r>
        <w:rPr>
          <w:rFonts w:hint="eastAsia" w:ascii="宋体" w:hAnsi="宋体" w:cs="宋体"/>
          <w:kern w:val="0"/>
          <w:szCs w:val="21"/>
        </w:rPr>
        <w:t>除专用合同条款另有约定外，发包人应在收到承包人要求提供资金来源证明的书面通知后28天内，向承包人提供能够按照合同约定支付合同价款的相应资金来源证明。</w:t>
      </w:r>
    </w:p>
    <w:p>
      <w:pPr>
        <w:ind w:firstLine="420" w:firstLineChars="200"/>
        <w:jc w:val="left"/>
        <w:rPr>
          <w:rFonts w:ascii="宋体" w:hAnsi="宋体" w:cs="宋体"/>
          <w:kern w:val="0"/>
          <w:szCs w:val="21"/>
        </w:rPr>
      </w:pPr>
      <w:r>
        <w:rPr>
          <w:rFonts w:hint="eastAsia" w:ascii="宋体" w:hAnsi="宋体" w:cs="宋体"/>
          <w:kern w:val="0"/>
          <w:szCs w:val="21"/>
        </w:rPr>
        <w:t>除专用合同条款另有约定外，发包人要求承包人提供履约担保的，发包人应当向承包人提供支付担保。支付担保可以采用银行保函或担保公司担保等形式，具体由合同当事人在专用合同条款中约定。</w:t>
      </w:r>
    </w:p>
    <w:p>
      <w:pPr>
        <w:keepNext/>
        <w:keepLines/>
        <w:tabs>
          <w:tab w:val="left" w:pos="1008"/>
        </w:tabs>
        <w:jc w:val="left"/>
        <w:outlineLvl w:val="4"/>
        <w:rPr>
          <w:rFonts w:ascii="宋体" w:hAnsi="宋体" w:cs="宋体"/>
          <w:kern w:val="0"/>
          <w:szCs w:val="21"/>
        </w:rPr>
      </w:pPr>
      <w:bookmarkStart w:id="165" w:name="_Toc351203515"/>
      <w:r>
        <w:rPr>
          <w:rFonts w:hint="eastAsia" w:ascii="宋体" w:hAnsi="宋体" w:cs="宋体"/>
          <w:kern w:val="0"/>
          <w:szCs w:val="21"/>
        </w:rPr>
        <w:t>2.6 支付合同价款</w:t>
      </w:r>
      <w:bookmarkEnd w:id="165"/>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发包人应按合同约定向承包人及时支付合同价款。</w:t>
      </w:r>
    </w:p>
    <w:p>
      <w:pPr>
        <w:keepNext/>
        <w:keepLines/>
        <w:tabs>
          <w:tab w:val="left" w:pos="1008"/>
        </w:tabs>
        <w:jc w:val="left"/>
        <w:outlineLvl w:val="4"/>
        <w:rPr>
          <w:rFonts w:ascii="宋体" w:hAnsi="宋体" w:cs="宋体"/>
          <w:kern w:val="0"/>
          <w:szCs w:val="21"/>
        </w:rPr>
      </w:pPr>
      <w:bookmarkStart w:id="166" w:name="_Toc351203516"/>
      <w:r>
        <w:rPr>
          <w:rFonts w:hint="eastAsia" w:ascii="宋体" w:hAnsi="宋体" w:cs="宋体"/>
          <w:kern w:val="0"/>
          <w:szCs w:val="21"/>
        </w:rPr>
        <w:t>2.7 组织竣工验收</w:t>
      </w:r>
      <w:bookmarkEnd w:id="166"/>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发包人应按合同约定及时组织竣工验收。</w:t>
      </w:r>
    </w:p>
    <w:p>
      <w:pPr>
        <w:keepNext/>
        <w:keepLines/>
        <w:tabs>
          <w:tab w:val="left" w:pos="1008"/>
        </w:tabs>
        <w:jc w:val="left"/>
        <w:outlineLvl w:val="4"/>
        <w:rPr>
          <w:rFonts w:ascii="宋体" w:hAnsi="宋体" w:cs="宋体"/>
          <w:kern w:val="0"/>
          <w:szCs w:val="21"/>
        </w:rPr>
      </w:pPr>
      <w:bookmarkStart w:id="167" w:name="_Toc351203517"/>
      <w:r>
        <w:rPr>
          <w:rFonts w:hint="eastAsia" w:ascii="宋体" w:hAnsi="宋体" w:cs="宋体"/>
          <w:kern w:val="0"/>
          <w:szCs w:val="21"/>
        </w:rPr>
        <w:t>2.8 现场统一管理协议</w:t>
      </w:r>
      <w:bookmarkEnd w:id="167"/>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发包人应与承包人、由发包人直接发包的专业工程的承包人签订施工现场统一管理协议，明确各方的权利义务。施工现场统一管理协议作为专用合同条款的附件。</w:t>
      </w:r>
    </w:p>
    <w:p>
      <w:pPr>
        <w:keepNext w:val="0"/>
        <w:keepLines w:val="0"/>
        <w:pageBreakBefore w:val="0"/>
        <w:widowControl w:val="0"/>
        <w:tabs>
          <w:tab w:val="left" w:pos="864"/>
        </w:tabs>
        <w:kinsoku/>
        <w:wordWrap/>
        <w:overflowPunct/>
        <w:topLinePunct w:val="0"/>
        <w:bidi w:val="0"/>
        <w:snapToGrid/>
        <w:jc w:val="left"/>
        <w:textAlignment w:val="auto"/>
        <w:rPr>
          <w:rFonts w:ascii="宋体" w:hAnsi="宋体" w:cs="宋体"/>
          <w:kern w:val="0"/>
          <w:szCs w:val="21"/>
        </w:rPr>
      </w:pPr>
      <w:bookmarkStart w:id="168" w:name="_Toc351203518"/>
      <w:r>
        <w:rPr>
          <w:rFonts w:hint="eastAsia" w:ascii="宋体" w:hAnsi="宋体" w:cs="宋体"/>
          <w:kern w:val="0"/>
          <w:szCs w:val="21"/>
        </w:rPr>
        <w:t>3</w:t>
      </w:r>
      <w:bookmarkStart w:id="169" w:name="_Toc296503045"/>
      <w:bookmarkStart w:id="170" w:name="_Toc296346546"/>
      <w:bookmarkStart w:id="171" w:name="_Toc337558746"/>
      <w:r>
        <w:rPr>
          <w:rFonts w:hint="eastAsia" w:ascii="宋体" w:hAnsi="宋体" w:cs="宋体"/>
          <w:kern w:val="0"/>
          <w:szCs w:val="21"/>
        </w:rPr>
        <w:t>. 承包人</w:t>
      </w:r>
      <w:bookmarkEnd w:id="168"/>
    </w:p>
    <w:bookmarkEnd w:id="169"/>
    <w:bookmarkEnd w:id="170"/>
    <w:bookmarkEnd w:id="171"/>
    <w:p>
      <w:pPr>
        <w:keepNext w:val="0"/>
        <w:keepLines w:val="0"/>
        <w:pageBreakBefore w:val="0"/>
        <w:widowControl w:val="0"/>
        <w:tabs>
          <w:tab w:val="left" w:pos="1008"/>
        </w:tabs>
        <w:kinsoku/>
        <w:wordWrap/>
        <w:overflowPunct/>
        <w:topLinePunct w:val="0"/>
        <w:bidi w:val="0"/>
        <w:snapToGrid/>
        <w:jc w:val="left"/>
        <w:textAlignment w:val="auto"/>
        <w:rPr>
          <w:rFonts w:ascii="宋体" w:hAnsi="宋体" w:cs="宋体"/>
          <w:kern w:val="0"/>
          <w:szCs w:val="21"/>
        </w:rPr>
      </w:pPr>
      <w:bookmarkStart w:id="172" w:name="_Toc351203519"/>
      <w:r>
        <w:rPr>
          <w:rFonts w:hint="eastAsia" w:ascii="宋体" w:hAnsi="宋体" w:cs="宋体"/>
          <w:kern w:val="0"/>
          <w:szCs w:val="21"/>
        </w:rPr>
        <w:t>3</w:t>
      </w:r>
      <w:bookmarkStart w:id="173" w:name="_Toc296503046"/>
      <w:bookmarkStart w:id="174" w:name="_Toc337558747"/>
      <w:bookmarkStart w:id="175" w:name="_Toc296346547"/>
      <w:r>
        <w:rPr>
          <w:rFonts w:hint="eastAsia" w:ascii="宋体" w:hAnsi="宋体" w:cs="宋体"/>
          <w:kern w:val="0"/>
          <w:szCs w:val="21"/>
        </w:rPr>
        <w:t>.1 承包人的一般义务</w:t>
      </w:r>
      <w:bookmarkEnd w:id="172"/>
    </w:p>
    <w:bookmarkEnd w:id="173"/>
    <w:bookmarkEnd w:id="174"/>
    <w:bookmarkEnd w:id="175"/>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承包人在履行合同过程中应遵守法律和工程建设标准规范，并履行以下义务：</w:t>
      </w:r>
    </w:p>
    <w:p>
      <w:pPr>
        <w:numPr>
          <w:ilvl w:val="0"/>
          <w:numId w:val="17"/>
        </w:num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办理法律规定应由承包人办理的许可和批准，并将办理结果书面报送发包人留存；</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（2）按法律规定和合同约定完成工程，并在保修期内承担保修义务；</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（3）按法律规定和合同约定采取施工安全和环境保护措施，办理工伤保险，确保工程及人员、材料、设备和设施的安全；</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（4）按合同约定的工作内容和施工进度要求，编制施工组织设计和施工措施计划，并对所有施工作业和施工方法的完备性和安全可靠性负责；</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5）在进行合同约定的各项工作时，不得侵害发包人与他人使用公用道路、水源、市政管网等公共设施的权利，避免对邻近的公共设施产生干扰。承包人占用或使用他人的施工场地，影响他人作业或生活的，应承担相应责任；</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（6）按照第6.3款〔环境保护〕约定负责施工场地及其周边环境与生态的保护工作；</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（7）按第6.1款〔安全文明施工〕约定采取施工安全措施，确保工程及其人员、材料、设备和设施的安全，防止因工程施工造成的人身伤害和财产损失；</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（8）将发包人按合同约定支付的各项价款专用于合同工程，且应及时支付其雇用人员工资，并及时向分包人支付合同价款；</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（9）按照法律规定和合同约定编制竣工资料，完成竣工资料立卷及归档，并按专用合同条款约定的竣工资料的套数、内容、时间等要求移交发包人；</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（10）应履行的其他义务。</w:t>
      </w:r>
    </w:p>
    <w:p>
      <w:pPr>
        <w:keepNext/>
        <w:keepLines/>
        <w:tabs>
          <w:tab w:val="left" w:pos="1008"/>
        </w:tabs>
        <w:jc w:val="left"/>
        <w:outlineLvl w:val="4"/>
        <w:rPr>
          <w:rFonts w:ascii="宋体" w:hAnsi="宋体" w:cs="宋体"/>
          <w:kern w:val="0"/>
          <w:szCs w:val="21"/>
        </w:rPr>
      </w:pPr>
      <w:bookmarkStart w:id="176" w:name="_Toc351203520"/>
      <w:r>
        <w:rPr>
          <w:rFonts w:hint="eastAsia" w:ascii="宋体" w:hAnsi="宋体" w:cs="宋体"/>
          <w:kern w:val="0"/>
          <w:szCs w:val="21"/>
        </w:rPr>
        <w:t>3</w:t>
      </w:r>
      <w:bookmarkStart w:id="177" w:name="_Toc296503047"/>
      <w:bookmarkStart w:id="178" w:name="_Toc296346548"/>
      <w:bookmarkStart w:id="179" w:name="_Toc337558748"/>
      <w:r>
        <w:rPr>
          <w:rFonts w:hint="eastAsia" w:ascii="宋体" w:hAnsi="宋体" w:cs="宋体"/>
          <w:kern w:val="0"/>
          <w:szCs w:val="21"/>
        </w:rPr>
        <w:t xml:space="preserve">.2 </w:t>
      </w:r>
      <w:bookmarkEnd w:id="176"/>
      <w:r>
        <w:rPr>
          <w:rFonts w:hint="eastAsia" w:ascii="宋体" w:hAnsi="宋体" w:cs="宋体"/>
          <w:kern w:val="0"/>
          <w:szCs w:val="21"/>
        </w:rPr>
        <w:t>项目经理</w:t>
      </w:r>
    </w:p>
    <w:bookmarkEnd w:id="177"/>
    <w:bookmarkEnd w:id="178"/>
    <w:bookmarkEnd w:id="179"/>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3.2.1 项目经理应为合同当事人所确认的人选，并在专用合同条款中明确项目经理的姓名、职称、注册执业证书编号、联系方式及授权范围等事项，项目经理经承包人授权后代表承包人负责履行合同。项目经理应是承包人正式聘用的员工，承包人应向发包人提交项目经理与承包人之间的劳动合同，以及承包人为项目经理缴纳社会保险的有效证明。承包人不提交上述文件的，项目经理无权履行职责，发包人有权要求更换项目经理，由此增加的费用和（或）延误的工期由承包人承担。</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项目经理应常驻施工现场，且每月在施工现场时间不得少于专用合同条款约定的天数。项目经理不得同时担任其他项目的项目经理。项目经理确需离开施工现场时，应事先通知监理人，并取得发包人的书面同意。项目经理的通知中应当载明临时代行其职责的人员的注册执业资格、管理经验等资料，该人员应具备履行相应职责的能力。</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承包人违反上述约定的，应按照专用合同条款的约定，承担违约责任。</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3.2.2 项目经理按合同约定组织工程实施。在紧急情况下为确保施工安全和人员安全，在无法与发包人代表和总监理工程师及时取得联系时，项目经理有权采取必要的措施保证与工程有关的人身、财产和工程的安全，但应在48小时内向发包人代表和总监理工程师提交书面报告。</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3.2.3 承包人需要更换项目经理的，应提前14天书面通知发包人和监理人，并征得发包人书面同意。通知中应当载明继任项目经理的注册执业资格、管理经验等资料，继任项目经理继续履行第3.2.1项约定的职责。未经发包人书面同意，承包人不得擅自更换项目经理。承包人擅自更换项目经理的，应按照专用合同条款的约定承担违约责任。</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3.2.4 发包人有权书面通知承包人更换其认为不称职的项目经理，通知中应当载明要求更换的理由。承包人应在接到更换通知后14天内向发包人提出书面的改进报告。发包人收到改进报告后仍要求更换的，承包人应在接到第二次更换通知的28天内进行更换，并将新任命的项目经理的注册执业资格、管理经验等资料书面通知发包人。继任项目经理继续履行第3.2.1项约定的职责。承包人无正当理由拒绝更换项目经理的，应按照专用合同条款的约定承担违约责任。</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3.2.5 项目经理因特殊情况授权其下属人员履行其某项工作职责的，该下属人员应具备履行相应职责的能力，并应提前7天将上述人员的姓名和授权范围书面通知监理人，并征得发包人书面同意。</w:t>
      </w:r>
    </w:p>
    <w:p>
      <w:pPr>
        <w:keepNext/>
        <w:keepLines/>
        <w:tabs>
          <w:tab w:val="left" w:pos="1008"/>
        </w:tabs>
        <w:jc w:val="left"/>
        <w:outlineLvl w:val="4"/>
        <w:rPr>
          <w:rFonts w:ascii="宋体" w:hAnsi="宋体" w:cs="宋体"/>
          <w:kern w:val="0"/>
          <w:szCs w:val="21"/>
        </w:rPr>
      </w:pPr>
      <w:bookmarkStart w:id="180" w:name="_Toc351203521"/>
      <w:r>
        <w:rPr>
          <w:rFonts w:hint="eastAsia" w:ascii="宋体" w:hAnsi="宋体" w:cs="宋体"/>
          <w:kern w:val="0"/>
          <w:szCs w:val="21"/>
        </w:rPr>
        <w:t>3</w:t>
      </w:r>
      <w:bookmarkStart w:id="181" w:name="_Toc296346549"/>
      <w:bookmarkStart w:id="182" w:name="_Toc296503048"/>
      <w:bookmarkStart w:id="183" w:name="_Toc337558749"/>
      <w:r>
        <w:rPr>
          <w:rFonts w:hint="eastAsia" w:ascii="宋体" w:hAnsi="宋体" w:cs="宋体"/>
          <w:kern w:val="0"/>
          <w:szCs w:val="21"/>
        </w:rPr>
        <w:t xml:space="preserve">.3 </w:t>
      </w:r>
      <w:bookmarkEnd w:id="181"/>
      <w:bookmarkEnd w:id="182"/>
      <w:r>
        <w:rPr>
          <w:rFonts w:hint="eastAsia" w:ascii="宋体" w:hAnsi="宋体" w:cs="宋体"/>
          <w:kern w:val="0"/>
          <w:szCs w:val="21"/>
        </w:rPr>
        <w:t>承包人人员</w:t>
      </w:r>
      <w:bookmarkEnd w:id="180"/>
    </w:p>
    <w:bookmarkEnd w:id="183"/>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3.3.1 除专用合同条款另有约定外，承包人应在接到开工通知后7天内，向监理人提交承包人项目管理机构及施工现场人员安排的报告，其内容应包括合同管理、施工、技术、材料、质量、安全、财务等主要施工管理人员名单及其岗位、注册执业资格等，以及各工种技术工人的安排情况，并同时提交主要施工管理人员与承包人之间的劳动关系证明和缴纳社会保险的有效证明。</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3.3.2 承包人派驻到施工现场的主要施工管理人员应相对稳定。施工过程中如有变动，承包人应及时向监理人提交施工现场人员变动情况的报告。承包人更换主要施工管理人员时，应提前7天书面通知监理人，并征得发包人书面同意。通知中应当载明继任人员的注册执业资格、管理经验等资料。</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特殊工种作业人员均应持有相应的资格证明，监理人可以随时检查。</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3.3.3 发包人对于承包人主要施工管理人员的资格或能力有异议的，承包人应提供资料证明被质疑人员有能力完成其岗位工作或不存在发包人所质疑的情形。发包人要求撤换不能按照合同约定履行职责及义务的主要施工管理人员的，承包人应当撤换。承包人无正当理由拒绝撤换的，应按照专用合同条款的约定承担违约责任。</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3.3.4 除专用合同条款另有约定外，承包人的主要施工管理人员离开施工现场每月累计不超过5天的，应报监理人同意；离开施工现场每月累计超过5天的，应通知监理人，并征得发包人书面同意。主要施工管理人员离开施工现场前应指定一名有经验的人员临时代行其职责，该人员应具备履行相应职责的资格和能力，且应征得监理人或发包人的同意。</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3.3.5 承包人擅自更换主要施工管理人员，或前述人员未经监理人或发包人同意擅自离开施工现场的，应按照专用合同条款约定承担违约责任。</w:t>
      </w:r>
    </w:p>
    <w:p>
      <w:pPr>
        <w:keepNext/>
        <w:keepLines/>
        <w:tabs>
          <w:tab w:val="left" w:pos="1008"/>
        </w:tabs>
        <w:jc w:val="left"/>
        <w:outlineLvl w:val="4"/>
        <w:rPr>
          <w:rFonts w:ascii="宋体" w:hAnsi="宋体" w:cs="宋体"/>
          <w:kern w:val="0"/>
          <w:szCs w:val="21"/>
        </w:rPr>
      </w:pPr>
      <w:bookmarkStart w:id="184" w:name="_Toc351203522"/>
      <w:r>
        <w:rPr>
          <w:rFonts w:hint="eastAsia" w:ascii="宋体" w:hAnsi="宋体" w:cs="宋体"/>
          <w:kern w:val="0"/>
          <w:szCs w:val="21"/>
        </w:rPr>
        <w:t>3</w:t>
      </w:r>
      <w:bookmarkStart w:id="185" w:name="_Toc296503050"/>
      <w:bookmarkStart w:id="186" w:name="_Toc337558750"/>
      <w:bookmarkStart w:id="187" w:name="_Toc296346551"/>
      <w:r>
        <w:rPr>
          <w:rFonts w:hint="eastAsia" w:ascii="宋体" w:hAnsi="宋体" w:cs="宋体"/>
          <w:kern w:val="0"/>
          <w:szCs w:val="21"/>
        </w:rPr>
        <w:t>.4 承包人现场查勘</w:t>
      </w:r>
      <w:bookmarkEnd w:id="184"/>
    </w:p>
    <w:bookmarkEnd w:id="185"/>
    <w:bookmarkEnd w:id="186"/>
    <w:bookmarkEnd w:id="187"/>
    <w:p>
      <w:pPr>
        <w:autoSpaceDE w:val="0"/>
        <w:autoSpaceDN w:val="0"/>
        <w:adjustRightInd w:val="0"/>
        <w:ind w:firstLine="420" w:firstLineChars="200"/>
        <w:jc w:val="left"/>
        <w:rPr>
          <w:rFonts w:ascii="宋体" w:hAnsi="宋体" w:cs="宋体"/>
          <w:szCs w:val="21"/>
        </w:rPr>
      </w:pPr>
      <w:r>
        <w:rPr>
          <w:rFonts w:hint="eastAsia" w:ascii="宋体" w:hAnsi="宋体" w:cs="宋体"/>
          <w:kern w:val="0"/>
          <w:szCs w:val="21"/>
        </w:rPr>
        <w:t>承包人应对基于发包人按照第2.4.3项〔提供基础资料〕提交的基础资料所做出的解释和推断负责，但因基础资料存在错误、遗漏导致承包人解释或推断失实的，由发包人承担责任。</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应对施工现场和施工条件进行查勘，并充分了解工程所在地的气象条件、交通条件、风俗习惯以及其他与完成合同工作有关的其他资料。因承包人未能充分查勘、了解前述情况或未能充分估计前述情况所可能产生后果的，承包人承担由此增加的费用和（或）延误的工期。</w:t>
      </w:r>
    </w:p>
    <w:p>
      <w:pPr>
        <w:keepNext/>
        <w:keepLines/>
        <w:tabs>
          <w:tab w:val="left" w:pos="1008"/>
        </w:tabs>
        <w:jc w:val="left"/>
        <w:outlineLvl w:val="4"/>
        <w:rPr>
          <w:rFonts w:ascii="宋体" w:hAnsi="宋体" w:cs="宋体"/>
          <w:kern w:val="0"/>
          <w:szCs w:val="21"/>
        </w:rPr>
      </w:pPr>
      <w:bookmarkStart w:id="188" w:name="_Toc351203523"/>
      <w:r>
        <w:rPr>
          <w:rFonts w:hint="eastAsia" w:ascii="宋体" w:hAnsi="宋体" w:cs="宋体"/>
          <w:kern w:val="0"/>
          <w:szCs w:val="21"/>
        </w:rPr>
        <w:t>3</w:t>
      </w:r>
      <w:bookmarkStart w:id="189" w:name="_Toc296346552"/>
      <w:bookmarkStart w:id="190" w:name="_Toc296503051"/>
      <w:bookmarkStart w:id="191" w:name="_Toc337558751"/>
      <w:r>
        <w:rPr>
          <w:rFonts w:hint="eastAsia" w:ascii="宋体" w:hAnsi="宋体" w:cs="宋体"/>
          <w:kern w:val="0"/>
          <w:szCs w:val="21"/>
        </w:rPr>
        <w:t>.5 分包</w:t>
      </w:r>
      <w:bookmarkEnd w:id="188"/>
    </w:p>
    <w:bookmarkEnd w:id="189"/>
    <w:bookmarkEnd w:id="190"/>
    <w:bookmarkEnd w:id="191"/>
    <w:p>
      <w:pPr>
        <w:ind w:firstLine="420" w:firstLineChars="200"/>
        <w:jc w:val="left"/>
        <w:rPr>
          <w:rFonts w:ascii="宋体" w:hAnsi="宋体" w:cs="宋体"/>
          <w:kern w:val="0"/>
          <w:szCs w:val="21"/>
        </w:rPr>
      </w:pPr>
      <w:r>
        <w:rPr>
          <w:rFonts w:hint="eastAsia" w:ascii="宋体" w:hAnsi="宋体" w:cs="宋体"/>
          <w:kern w:val="0"/>
          <w:szCs w:val="21"/>
        </w:rPr>
        <w:t>3.5.1 分包的一般约定</w:t>
      </w:r>
    </w:p>
    <w:p>
      <w:pPr>
        <w:ind w:firstLine="420" w:firstLineChars="200"/>
        <w:jc w:val="left"/>
        <w:rPr>
          <w:rFonts w:ascii="宋体" w:hAnsi="宋体" w:cs="宋体"/>
          <w:kern w:val="0"/>
          <w:szCs w:val="21"/>
        </w:rPr>
      </w:pPr>
      <w:r>
        <w:rPr>
          <w:rFonts w:hint="eastAsia" w:ascii="宋体" w:hAnsi="宋体" w:cs="宋体"/>
          <w:kern w:val="0"/>
          <w:szCs w:val="21"/>
        </w:rPr>
        <w:t>承包人不得将其承包的全部工程转包给第三人，或将其承包的全部工程肢解后以分包的名义转包给第三人。承包人不得将工程主体结构、关键性工作及专用合同条款中禁止分包的专业工程分包给第三人，主体结构、关键性工作的范围由合同当事人按照法律规定在专用合同条款中予以明确。</w:t>
      </w:r>
    </w:p>
    <w:p>
      <w:pPr>
        <w:ind w:firstLine="420" w:firstLineChars="200"/>
        <w:jc w:val="left"/>
        <w:rPr>
          <w:rFonts w:ascii="宋体" w:hAnsi="宋体" w:cs="宋体"/>
          <w:kern w:val="0"/>
          <w:szCs w:val="21"/>
        </w:rPr>
      </w:pPr>
      <w:r>
        <w:rPr>
          <w:rFonts w:hint="eastAsia" w:ascii="宋体" w:hAnsi="宋体" w:cs="宋体"/>
          <w:kern w:val="0"/>
          <w:szCs w:val="21"/>
        </w:rPr>
        <w:t>承包人不得以劳务分包的名义转包或违法分包工程。</w:t>
      </w:r>
    </w:p>
    <w:p>
      <w:pPr>
        <w:ind w:firstLine="420" w:firstLineChars="200"/>
        <w:jc w:val="left"/>
        <w:rPr>
          <w:rFonts w:ascii="宋体" w:hAnsi="宋体" w:cs="宋体"/>
          <w:kern w:val="0"/>
          <w:szCs w:val="21"/>
        </w:rPr>
      </w:pPr>
      <w:r>
        <w:rPr>
          <w:rFonts w:hint="eastAsia" w:ascii="宋体" w:hAnsi="宋体" w:cs="宋体"/>
          <w:kern w:val="0"/>
          <w:szCs w:val="21"/>
        </w:rPr>
        <w:t>3.5.2 分包的确定</w:t>
      </w:r>
    </w:p>
    <w:p>
      <w:pPr>
        <w:ind w:firstLine="420" w:firstLineChars="200"/>
        <w:jc w:val="left"/>
        <w:rPr>
          <w:rFonts w:ascii="宋体" w:hAnsi="宋体" w:cs="宋体"/>
          <w:kern w:val="0"/>
          <w:szCs w:val="21"/>
        </w:rPr>
      </w:pPr>
      <w:r>
        <w:rPr>
          <w:rFonts w:hint="eastAsia" w:ascii="宋体" w:hAnsi="宋体" w:cs="宋体"/>
          <w:kern w:val="0"/>
          <w:szCs w:val="21"/>
        </w:rPr>
        <w:t>承包人应按专用合同条款的约定进行分包，确定分包人。已标价工程量清单或预算书中给定暂估价的专业工程，按照第10.7款〔暂估价〕确定分包人。按照合同约定进行分包的，承包人应确保分包人具有相应的资质和能力。工程分包不减轻或免除承包人的责任和义务，承包人和分包人就分包工程向发包人承担连带责任。除合同另有约定外，承包人应在分包合同签订后7天内向发包人和监理人提交分包合同副本。</w:t>
      </w:r>
    </w:p>
    <w:p>
      <w:pPr>
        <w:ind w:firstLine="420" w:firstLineChars="200"/>
        <w:jc w:val="left"/>
        <w:rPr>
          <w:rFonts w:ascii="宋体" w:hAnsi="宋体" w:cs="宋体"/>
          <w:kern w:val="0"/>
          <w:szCs w:val="21"/>
        </w:rPr>
      </w:pPr>
      <w:r>
        <w:rPr>
          <w:rFonts w:hint="eastAsia" w:ascii="宋体" w:hAnsi="宋体" w:cs="宋体"/>
          <w:kern w:val="0"/>
          <w:szCs w:val="21"/>
        </w:rPr>
        <w:t>3.5.3 分包管理</w:t>
      </w:r>
    </w:p>
    <w:p>
      <w:pPr>
        <w:ind w:firstLine="420" w:firstLineChars="200"/>
        <w:jc w:val="left"/>
        <w:rPr>
          <w:rFonts w:ascii="宋体" w:hAnsi="宋体" w:cs="宋体"/>
          <w:kern w:val="0"/>
          <w:szCs w:val="21"/>
        </w:rPr>
      </w:pPr>
      <w:r>
        <w:rPr>
          <w:rFonts w:hint="eastAsia" w:ascii="宋体" w:hAnsi="宋体" w:cs="宋体"/>
          <w:kern w:val="0"/>
          <w:szCs w:val="21"/>
        </w:rPr>
        <w:t>承包人应向监理人提交分包人的主要施工管理人员表，并对分包人的施工人员进行实名制管理，包括但不限于进出场管理、登记造册以及各种证照的办理。</w:t>
      </w:r>
    </w:p>
    <w:p>
      <w:pPr>
        <w:ind w:firstLine="420" w:firstLineChars="200"/>
        <w:jc w:val="left"/>
        <w:rPr>
          <w:rFonts w:ascii="宋体" w:hAnsi="宋体" w:cs="宋体"/>
          <w:kern w:val="0"/>
          <w:szCs w:val="21"/>
        </w:rPr>
      </w:pPr>
      <w:r>
        <w:rPr>
          <w:rFonts w:hint="eastAsia" w:ascii="宋体" w:hAnsi="宋体" w:cs="宋体"/>
          <w:kern w:val="0"/>
          <w:szCs w:val="21"/>
        </w:rPr>
        <w:t>3.5.4 分包合同价款</w:t>
      </w:r>
    </w:p>
    <w:p>
      <w:pPr>
        <w:ind w:firstLine="420" w:firstLineChars="200"/>
        <w:jc w:val="left"/>
        <w:rPr>
          <w:rFonts w:ascii="宋体" w:hAnsi="宋体" w:cs="宋体"/>
          <w:kern w:val="0"/>
          <w:szCs w:val="21"/>
        </w:rPr>
      </w:pPr>
      <w:r>
        <w:rPr>
          <w:rFonts w:hint="eastAsia" w:ascii="宋体" w:hAnsi="宋体" w:cs="宋体"/>
          <w:kern w:val="0"/>
          <w:szCs w:val="21"/>
        </w:rPr>
        <w:t>（1）除本项第（2）目约定的情况或专用合同条款另有约定外，分包合同价款由承包人与分包人结算，未经承包人同意，发包人不得向分包人支付分包工程价款；</w:t>
      </w:r>
    </w:p>
    <w:p>
      <w:pPr>
        <w:ind w:firstLine="420" w:firstLineChars="200"/>
        <w:jc w:val="left"/>
        <w:rPr>
          <w:rFonts w:ascii="宋体" w:hAnsi="宋体" w:cs="宋体"/>
          <w:kern w:val="0"/>
          <w:szCs w:val="21"/>
        </w:rPr>
      </w:pPr>
      <w:r>
        <w:rPr>
          <w:rFonts w:hint="eastAsia" w:ascii="宋体" w:hAnsi="宋体" w:cs="宋体"/>
          <w:kern w:val="0"/>
          <w:szCs w:val="21"/>
        </w:rPr>
        <w:t>（2）生效法律文书要求发包人向分包人支付分包合同价款的，发包人有权从应付承包人工程款中扣除该部分款项。</w:t>
      </w:r>
    </w:p>
    <w:p>
      <w:pPr>
        <w:ind w:firstLine="420" w:firstLineChars="200"/>
        <w:jc w:val="left"/>
        <w:rPr>
          <w:rFonts w:ascii="宋体" w:hAnsi="宋体" w:cs="宋体"/>
          <w:kern w:val="0"/>
          <w:szCs w:val="21"/>
        </w:rPr>
      </w:pPr>
      <w:r>
        <w:rPr>
          <w:rFonts w:hint="eastAsia" w:ascii="宋体" w:hAnsi="宋体" w:cs="宋体"/>
          <w:kern w:val="0"/>
          <w:szCs w:val="21"/>
        </w:rPr>
        <w:t>3.5.5 分包合同权益的转让</w:t>
      </w:r>
    </w:p>
    <w:p>
      <w:pPr>
        <w:ind w:firstLine="420" w:firstLineChars="200"/>
        <w:jc w:val="left"/>
        <w:rPr>
          <w:rFonts w:ascii="宋体" w:hAnsi="宋体" w:cs="宋体"/>
          <w:kern w:val="0"/>
          <w:szCs w:val="21"/>
        </w:rPr>
      </w:pPr>
      <w:r>
        <w:rPr>
          <w:rFonts w:hint="eastAsia" w:ascii="宋体" w:hAnsi="宋体" w:cs="宋体"/>
          <w:kern w:val="0"/>
          <w:szCs w:val="21"/>
        </w:rPr>
        <w:t>分包人在分包合同项下的义务持续到缺陷责任期届满以后的，发包人有权在缺陷责任期届满前，要求承包人将其在分包合同项下的权益转让给发包人，承包人应当转让。除转让合同另有约定外，转让合同生效后，由分包人向发包人履行义务。</w:t>
      </w:r>
      <w:bookmarkStart w:id="192" w:name="_Toc351203524"/>
    </w:p>
    <w:p>
      <w:pPr>
        <w:keepNext/>
        <w:keepLines/>
        <w:tabs>
          <w:tab w:val="left" w:pos="1008"/>
        </w:tabs>
        <w:jc w:val="left"/>
        <w:outlineLvl w:val="4"/>
        <w:rPr>
          <w:rFonts w:ascii="宋体" w:hAnsi="宋体" w:cs="宋体"/>
          <w:kern w:val="0"/>
          <w:szCs w:val="21"/>
        </w:rPr>
      </w:pPr>
      <w:r>
        <w:rPr>
          <w:rFonts w:hint="eastAsia" w:ascii="宋体" w:hAnsi="宋体" w:cs="宋体"/>
          <w:kern w:val="0"/>
          <w:szCs w:val="21"/>
        </w:rPr>
        <w:t>3.6 工程照管与成品、半成品保护</w:t>
      </w:r>
      <w:bookmarkEnd w:id="192"/>
    </w:p>
    <w:p>
      <w:pPr>
        <w:ind w:firstLine="420" w:firstLineChars="200"/>
        <w:jc w:val="left"/>
        <w:rPr>
          <w:rFonts w:ascii="宋体" w:hAnsi="宋体" w:cs="宋体"/>
          <w:kern w:val="0"/>
          <w:szCs w:val="21"/>
        </w:rPr>
      </w:pPr>
      <w:r>
        <w:rPr>
          <w:rFonts w:hint="eastAsia" w:ascii="宋体" w:hAnsi="宋体" w:cs="宋体"/>
          <w:kern w:val="0"/>
          <w:szCs w:val="21"/>
        </w:rPr>
        <w:t>（1）除专用合同条款另有约定外，自发包人向承包人移交施工现场之日起，承包人应负责照管工程及工程相关的材料、工程设备，直到颁发工程接收证书之日止。</w:t>
      </w:r>
    </w:p>
    <w:p>
      <w:pPr>
        <w:ind w:firstLine="420" w:firstLineChars="200"/>
        <w:jc w:val="left"/>
        <w:rPr>
          <w:rFonts w:ascii="宋体" w:hAnsi="宋体" w:cs="宋体"/>
          <w:kern w:val="0"/>
          <w:szCs w:val="21"/>
        </w:rPr>
      </w:pPr>
      <w:r>
        <w:rPr>
          <w:rFonts w:hint="eastAsia" w:ascii="宋体" w:hAnsi="宋体" w:cs="宋体"/>
          <w:kern w:val="0"/>
          <w:szCs w:val="21"/>
        </w:rPr>
        <w:t>（2）在承包人负责照管期间，因承包人原因造成工程、材料、工程设备损坏的，由承包人负责修复或更换，并承担由此增加的费用和（或）延误的工期。</w:t>
      </w:r>
    </w:p>
    <w:p>
      <w:pPr>
        <w:ind w:firstLine="420" w:firstLineChars="200"/>
        <w:jc w:val="left"/>
        <w:rPr>
          <w:rFonts w:ascii="宋体" w:hAnsi="宋体" w:cs="宋体"/>
          <w:kern w:val="0"/>
          <w:szCs w:val="21"/>
        </w:rPr>
      </w:pPr>
      <w:r>
        <w:rPr>
          <w:rFonts w:hint="eastAsia" w:ascii="宋体" w:hAnsi="宋体" w:cs="宋体"/>
          <w:kern w:val="0"/>
          <w:szCs w:val="21"/>
        </w:rPr>
        <w:t>（3）对合同内分期完成的成品和半成品，在工程接收证书颁发前，由承包人承担保护责任。因承包人原因造成成品或半成品损坏的，由承包人负责修复或更换，并承担由此增加的费用和（或）延误的工期。</w:t>
      </w:r>
    </w:p>
    <w:p>
      <w:pPr>
        <w:keepNext/>
        <w:keepLines/>
        <w:tabs>
          <w:tab w:val="left" w:pos="1008"/>
        </w:tabs>
        <w:jc w:val="left"/>
        <w:outlineLvl w:val="4"/>
        <w:rPr>
          <w:rFonts w:ascii="宋体" w:hAnsi="宋体" w:cs="宋体"/>
          <w:kern w:val="0"/>
          <w:szCs w:val="21"/>
        </w:rPr>
      </w:pPr>
      <w:bookmarkStart w:id="193" w:name="_Toc351203525"/>
      <w:r>
        <w:rPr>
          <w:rFonts w:hint="eastAsia" w:ascii="宋体" w:hAnsi="宋体" w:cs="宋体"/>
          <w:kern w:val="0"/>
          <w:szCs w:val="21"/>
        </w:rPr>
        <w:t>3</w:t>
      </w:r>
      <w:bookmarkStart w:id="194" w:name="_Toc296346553"/>
      <w:bookmarkStart w:id="195" w:name="_Toc337558752"/>
      <w:bookmarkStart w:id="196" w:name="_Toc296503052"/>
      <w:r>
        <w:rPr>
          <w:rFonts w:hint="eastAsia" w:ascii="宋体" w:hAnsi="宋体" w:cs="宋体"/>
          <w:kern w:val="0"/>
          <w:szCs w:val="21"/>
        </w:rPr>
        <w:t>.7 履约担保</w:t>
      </w:r>
      <w:bookmarkEnd w:id="193"/>
    </w:p>
    <w:bookmarkEnd w:id="194"/>
    <w:bookmarkEnd w:id="195"/>
    <w:bookmarkEnd w:id="196"/>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发包人需要承包人提供履约担保的，由合同当事人在专用合同条款中约定履约担保的方式、金额及期限等。履约担保可以采用银行保函或担保公司担保等形式，具体由合同当事人在专用合同条款中约定。</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因承包人原因导致工期延长的，继续提供履约担保所增加的费用由承包人承担；非因承包人原因导致工期延长的，继续提供履约担保所增加的费用由发包人承担。</w:t>
      </w:r>
    </w:p>
    <w:p>
      <w:pPr>
        <w:keepNext/>
        <w:keepLines/>
        <w:tabs>
          <w:tab w:val="left" w:pos="1008"/>
        </w:tabs>
        <w:jc w:val="left"/>
        <w:outlineLvl w:val="4"/>
        <w:rPr>
          <w:rFonts w:ascii="宋体" w:hAnsi="宋体" w:cs="宋体"/>
          <w:kern w:val="0"/>
          <w:szCs w:val="21"/>
        </w:rPr>
      </w:pPr>
      <w:bookmarkStart w:id="197" w:name="_Toc351203526"/>
      <w:r>
        <w:rPr>
          <w:rFonts w:hint="eastAsia" w:ascii="宋体" w:hAnsi="宋体" w:cs="宋体"/>
          <w:kern w:val="0"/>
          <w:szCs w:val="21"/>
        </w:rPr>
        <w:t>3.8 联合体</w:t>
      </w:r>
      <w:bookmarkEnd w:id="197"/>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3.8.1 联合体各方应共同与发包人签订合同协议书。联合体各方应为履行合同向发包人承担连带责任。</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3.8.2 联合体协议经发包人确认后作为合同附件。在履行合同过程中，未经发包人同意，不得修改联合体协议。</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3.8.3 联合体牵头人负责与发包人和监理人联系，并接受指示，负责组织联合体各成员全面履行合同。</w:t>
      </w:r>
    </w:p>
    <w:p>
      <w:pPr>
        <w:keepNext/>
        <w:keepLines/>
        <w:tabs>
          <w:tab w:val="left" w:pos="864"/>
        </w:tabs>
        <w:jc w:val="left"/>
        <w:outlineLvl w:val="3"/>
        <w:rPr>
          <w:rFonts w:ascii="宋体" w:hAnsi="宋体" w:cs="宋体"/>
          <w:kern w:val="0"/>
          <w:szCs w:val="21"/>
        </w:rPr>
      </w:pPr>
      <w:bookmarkStart w:id="198" w:name="_Toc351203527"/>
      <w:r>
        <w:rPr>
          <w:rFonts w:hint="eastAsia" w:ascii="宋体" w:hAnsi="宋体" w:cs="宋体"/>
          <w:kern w:val="0"/>
          <w:szCs w:val="21"/>
        </w:rPr>
        <w:t>4</w:t>
      </w:r>
      <w:bookmarkStart w:id="199" w:name="_Toc296346554"/>
      <w:bookmarkStart w:id="200" w:name="_Toc296503053"/>
      <w:bookmarkStart w:id="201" w:name="_Toc337558753"/>
      <w:r>
        <w:rPr>
          <w:rFonts w:hint="eastAsia" w:ascii="宋体" w:hAnsi="宋体" w:cs="宋体"/>
          <w:kern w:val="0"/>
          <w:szCs w:val="21"/>
        </w:rPr>
        <w:t>. 监</w:t>
      </w:r>
      <w:bookmarkEnd w:id="199"/>
      <w:bookmarkEnd w:id="200"/>
      <w:r>
        <w:rPr>
          <w:rFonts w:hint="eastAsia" w:ascii="宋体" w:hAnsi="宋体" w:cs="宋体"/>
          <w:kern w:val="0"/>
          <w:szCs w:val="21"/>
        </w:rPr>
        <w:t>理人</w:t>
      </w:r>
      <w:bookmarkEnd w:id="198"/>
    </w:p>
    <w:bookmarkEnd w:id="201"/>
    <w:p>
      <w:pPr>
        <w:keepNext/>
        <w:keepLines/>
        <w:tabs>
          <w:tab w:val="left" w:pos="1008"/>
        </w:tabs>
        <w:jc w:val="left"/>
        <w:outlineLvl w:val="4"/>
        <w:rPr>
          <w:rFonts w:ascii="宋体" w:hAnsi="宋体" w:cs="宋体"/>
          <w:kern w:val="0"/>
          <w:szCs w:val="21"/>
        </w:rPr>
      </w:pPr>
      <w:bookmarkStart w:id="202" w:name="_Toc351203528"/>
      <w:r>
        <w:rPr>
          <w:rFonts w:hint="eastAsia" w:ascii="宋体" w:hAnsi="宋体" w:cs="宋体"/>
          <w:kern w:val="0"/>
          <w:szCs w:val="21"/>
        </w:rPr>
        <w:t>4</w:t>
      </w:r>
      <w:bookmarkStart w:id="203" w:name="_Toc337558754"/>
      <w:bookmarkStart w:id="204" w:name="_Toc296346555"/>
      <w:bookmarkStart w:id="205" w:name="_Toc296503054"/>
      <w:r>
        <w:rPr>
          <w:rFonts w:hint="eastAsia" w:ascii="宋体" w:hAnsi="宋体" w:cs="宋体"/>
          <w:kern w:val="0"/>
          <w:szCs w:val="21"/>
        </w:rPr>
        <w:t>.1监理人的一般规定</w:t>
      </w:r>
      <w:bookmarkEnd w:id="202"/>
    </w:p>
    <w:bookmarkEnd w:id="203"/>
    <w:bookmarkEnd w:id="204"/>
    <w:bookmarkEnd w:id="205"/>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工程实行监理的，发包人和承包人应在专用合同条款中明确监理人的监理内容及监理权限等事项。监理人应当根据发包人授权及法律规定，代表发包人对工程施工相关事项进行检查、查验、审核、验收，并签发相关指示，但监理人无权修改合同，且无权减轻或免除合同约定的承包人的任何责任与义务。</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除专用合同条款另有约定外，监理人在施工现场的办公场所、生活场所由承包人提供，所发生的费用由发包人承担。</w:t>
      </w:r>
    </w:p>
    <w:p>
      <w:pPr>
        <w:keepNext/>
        <w:keepLines/>
        <w:tabs>
          <w:tab w:val="left" w:pos="1008"/>
        </w:tabs>
        <w:jc w:val="left"/>
        <w:outlineLvl w:val="4"/>
        <w:rPr>
          <w:rFonts w:ascii="宋体" w:hAnsi="宋体" w:cs="宋体"/>
          <w:kern w:val="0"/>
          <w:szCs w:val="21"/>
        </w:rPr>
      </w:pPr>
      <w:bookmarkStart w:id="206" w:name="_Toc351203529"/>
      <w:r>
        <w:rPr>
          <w:rFonts w:hint="eastAsia" w:ascii="宋体" w:hAnsi="宋体" w:cs="宋体"/>
          <w:kern w:val="0"/>
          <w:szCs w:val="21"/>
        </w:rPr>
        <w:t>4</w:t>
      </w:r>
      <w:bookmarkStart w:id="207" w:name="_Toc337558755"/>
      <w:r>
        <w:rPr>
          <w:rFonts w:hint="eastAsia" w:ascii="宋体" w:hAnsi="宋体" w:cs="宋体"/>
          <w:kern w:val="0"/>
          <w:szCs w:val="21"/>
        </w:rPr>
        <w:t>.2监理人员</w:t>
      </w:r>
      <w:bookmarkEnd w:id="206"/>
    </w:p>
    <w:bookmarkEnd w:id="207"/>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授予监理人对工程实施监理的权利由监理人派驻施工现场的监理人员行使，监理人员包括总监理工程师及监理工程师。监理人应将授权的总监理工程师和监理工程师的姓名及授权范围以书面形式提前通知承包人。更换总监理工程师的，监理人应提前7天书面通知承包人；更换其他监理人员，监理人应提前48小时书面通知承包人。</w:t>
      </w:r>
    </w:p>
    <w:p>
      <w:pPr>
        <w:keepNext/>
        <w:keepLines/>
        <w:tabs>
          <w:tab w:val="left" w:pos="1008"/>
        </w:tabs>
        <w:jc w:val="left"/>
        <w:outlineLvl w:val="4"/>
        <w:rPr>
          <w:rFonts w:ascii="宋体" w:hAnsi="宋体" w:cs="宋体"/>
          <w:kern w:val="0"/>
          <w:szCs w:val="21"/>
        </w:rPr>
      </w:pPr>
      <w:bookmarkStart w:id="208" w:name="_Toc351203530"/>
      <w:r>
        <w:rPr>
          <w:rFonts w:hint="eastAsia" w:ascii="宋体" w:hAnsi="宋体" w:cs="宋体"/>
          <w:kern w:val="0"/>
          <w:szCs w:val="21"/>
        </w:rPr>
        <w:t>4</w:t>
      </w:r>
      <w:bookmarkStart w:id="209" w:name="_Toc296346556"/>
      <w:bookmarkStart w:id="210" w:name="_Toc296503055"/>
      <w:bookmarkStart w:id="211" w:name="_Toc337558756"/>
      <w:r>
        <w:rPr>
          <w:rFonts w:hint="eastAsia" w:ascii="宋体" w:hAnsi="宋体" w:cs="宋体"/>
          <w:kern w:val="0"/>
          <w:szCs w:val="21"/>
        </w:rPr>
        <w:t>.3</w:t>
      </w:r>
      <w:bookmarkEnd w:id="209"/>
      <w:bookmarkEnd w:id="210"/>
      <w:r>
        <w:rPr>
          <w:rFonts w:hint="eastAsia" w:ascii="宋体" w:hAnsi="宋体" w:cs="宋体"/>
          <w:kern w:val="0"/>
          <w:szCs w:val="21"/>
        </w:rPr>
        <w:t>监理人的指</w:t>
      </w:r>
      <w:bookmarkEnd w:id="211"/>
      <w:r>
        <w:rPr>
          <w:rFonts w:hint="eastAsia" w:ascii="宋体" w:hAnsi="宋体" w:cs="宋体"/>
          <w:kern w:val="0"/>
          <w:szCs w:val="21"/>
        </w:rPr>
        <w:t>示</w:t>
      </w:r>
      <w:bookmarkEnd w:id="208"/>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监理人应按照发包人的授权发出监理指示。监理人的指示应采用书面形式，并经其授权的监理人员签字。紧急情况下，为了保证施工人员的安全或避免工程受损，监理人员可以口头形式发出指示，该指示与书面形式的指示具有同等法律效力，但必须在发出口头指示后24小时内补发书面监理指示，补发的书面监理指示应与口头指示一致。</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监理人发出的指示应送达承包人项目经理或经项目经理授权接收的人员。因监理人未能按合同约定发出指示、指示延误或发出了错误指示而导致承包人费用增加和（或）工期延误的，由发包人承担相应责任。除专用合同条款另有约定外，总监理工程师不应将第4.4款〔商定或确定〕约定应由总监理工程师作出确定的权力授权或委托给其他监理人员。</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承包人对监理人发出的指示有疑问的，应向监理人提出书面异议，监理人应在48小时内对该指示予以确认、更改或撤销，监理人逾期未回复的，承包人有权拒绝执行上述指示。</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监理人对承包人的任何工作、工程或其采用的材料和工程设备未在约定的或合理期限内提出意见的，视为批准，但不免除或减轻承包人对该工作、工程、材料、工程设备等应承担的责任和义务。</w:t>
      </w:r>
    </w:p>
    <w:p>
      <w:pPr>
        <w:keepNext/>
        <w:keepLines/>
        <w:tabs>
          <w:tab w:val="left" w:pos="864"/>
        </w:tabs>
        <w:jc w:val="left"/>
        <w:outlineLvl w:val="3"/>
        <w:rPr>
          <w:rFonts w:ascii="宋体" w:hAnsi="宋体" w:cs="宋体"/>
          <w:kern w:val="0"/>
          <w:szCs w:val="21"/>
        </w:rPr>
      </w:pPr>
      <w:bookmarkStart w:id="212" w:name="_Toc351203531"/>
      <w:r>
        <w:rPr>
          <w:rFonts w:hint="eastAsia" w:ascii="宋体" w:hAnsi="宋体" w:cs="宋体"/>
          <w:kern w:val="0"/>
          <w:szCs w:val="21"/>
        </w:rPr>
        <w:t>4</w:t>
      </w:r>
      <w:bookmarkStart w:id="213" w:name="_Toc296503057"/>
      <w:bookmarkStart w:id="214" w:name="_Toc337558757"/>
      <w:bookmarkStart w:id="215" w:name="_Toc296346558"/>
      <w:r>
        <w:rPr>
          <w:rFonts w:hint="eastAsia" w:ascii="宋体" w:hAnsi="宋体" w:cs="宋体"/>
          <w:kern w:val="0"/>
          <w:szCs w:val="21"/>
        </w:rPr>
        <w:t>.4 商定或确定</w:t>
      </w:r>
      <w:bookmarkEnd w:id="212"/>
    </w:p>
    <w:bookmarkEnd w:id="213"/>
    <w:bookmarkEnd w:id="214"/>
    <w:bookmarkEnd w:id="215"/>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合同当事人进行商定或确定时，总监理工程师应当会同合同当事人尽量通过协商达成一致，不能达成一致的，由总监理工程师按照合同约定审慎做出公正的确定。</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总监理工程师应将确定以书面形式通知发包人和承包人，并附详细依据。合同当事人对总监理工程师的确定没有异议的，按照总监理工程师的确定执行。任何一方合同当事人有异议，按照第20条〔争议解决〕约定处理。争议解决前，合同当事人暂按总监理工程师的确定执行；争议解决后，争议解决的结果与总监理工程师的确定不一致的，按照争议解决的结果执行，由此造成的损失由责任人承担。</w:t>
      </w:r>
    </w:p>
    <w:p>
      <w:pPr>
        <w:keepNext/>
        <w:keepLines/>
        <w:tabs>
          <w:tab w:val="left" w:pos="864"/>
        </w:tabs>
        <w:jc w:val="left"/>
        <w:outlineLvl w:val="3"/>
        <w:rPr>
          <w:rFonts w:ascii="宋体" w:hAnsi="宋体" w:cs="宋体"/>
          <w:kern w:val="0"/>
          <w:szCs w:val="21"/>
        </w:rPr>
      </w:pPr>
      <w:bookmarkStart w:id="216" w:name="_Toc351203532"/>
      <w:r>
        <w:rPr>
          <w:rFonts w:hint="eastAsia" w:ascii="宋体" w:hAnsi="宋体" w:cs="宋体"/>
          <w:kern w:val="0"/>
          <w:szCs w:val="21"/>
        </w:rPr>
        <w:t>5</w:t>
      </w:r>
      <w:bookmarkStart w:id="217" w:name="_Toc337558758"/>
      <w:r>
        <w:rPr>
          <w:rFonts w:hint="eastAsia" w:ascii="宋体" w:hAnsi="宋体" w:cs="宋体"/>
          <w:kern w:val="0"/>
          <w:szCs w:val="21"/>
        </w:rPr>
        <w:t>. 工程质量</w:t>
      </w:r>
      <w:bookmarkEnd w:id="216"/>
    </w:p>
    <w:bookmarkEnd w:id="217"/>
    <w:p>
      <w:pPr>
        <w:keepNext/>
        <w:keepLines/>
        <w:tabs>
          <w:tab w:val="left" w:pos="1008"/>
        </w:tabs>
        <w:jc w:val="left"/>
        <w:outlineLvl w:val="4"/>
        <w:rPr>
          <w:rFonts w:ascii="宋体" w:hAnsi="宋体" w:cs="宋体"/>
          <w:kern w:val="0"/>
          <w:szCs w:val="21"/>
        </w:rPr>
      </w:pPr>
      <w:bookmarkStart w:id="218" w:name="_Toc351203533"/>
      <w:r>
        <w:rPr>
          <w:rFonts w:hint="eastAsia" w:ascii="宋体" w:hAnsi="宋体" w:cs="宋体"/>
          <w:kern w:val="0"/>
          <w:szCs w:val="21"/>
        </w:rPr>
        <w:t>5</w:t>
      </w:r>
      <w:bookmarkStart w:id="219" w:name="_Toc337558759"/>
      <w:r>
        <w:rPr>
          <w:rFonts w:hint="eastAsia" w:ascii="宋体" w:hAnsi="宋体" w:cs="宋体"/>
          <w:kern w:val="0"/>
          <w:szCs w:val="21"/>
        </w:rPr>
        <w:t>.1质量要求</w:t>
      </w:r>
      <w:bookmarkEnd w:id="218"/>
    </w:p>
    <w:bookmarkEnd w:id="219"/>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5.1.1 工程质量标准必须符合现行国家有关工程施工质量验收规范和标准的要求。有关工程质量的特殊标准或要求由合同当事人在专用合同条款中约定。</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5.1.2 因发包人原因造成工程质量未达到合同约定标准的，由发包人承担由此增加的费用和（或）延误的工期，并支付承包人合理的利润。</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5.1.3 因承包人原因造成工程质量未达到合同约定标准的，发包人有权要求承包人返工直至工程质量达到合同约定的标准为止，并由承包人承担由此增加的费用和（或）延误的工期。</w:t>
      </w:r>
    </w:p>
    <w:p>
      <w:pPr>
        <w:keepNext/>
        <w:keepLines/>
        <w:tabs>
          <w:tab w:val="left" w:pos="1008"/>
        </w:tabs>
        <w:jc w:val="left"/>
        <w:outlineLvl w:val="4"/>
        <w:rPr>
          <w:rFonts w:ascii="宋体" w:hAnsi="宋体" w:cs="宋体"/>
          <w:kern w:val="0"/>
          <w:szCs w:val="21"/>
        </w:rPr>
      </w:pPr>
      <w:bookmarkStart w:id="220" w:name="_Toc351203534"/>
      <w:r>
        <w:rPr>
          <w:rFonts w:hint="eastAsia" w:ascii="宋体" w:hAnsi="宋体" w:cs="宋体"/>
          <w:kern w:val="0"/>
          <w:szCs w:val="21"/>
        </w:rPr>
        <w:t>5</w:t>
      </w:r>
      <w:bookmarkStart w:id="221" w:name="_Toc337558760"/>
      <w:r>
        <w:rPr>
          <w:rFonts w:hint="eastAsia" w:ascii="宋体" w:hAnsi="宋体" w:cs="宋体"/>
          <w:kern w:val="0"/>
          <w:szCs w:val="21"/>
        </w:rPr>
        <w:t>.2质量保证措施</w:t>
      </w:r>
      <w:bookmarkEnd w:id="220"/>
    </w:p>
    <w:bookmarkEnd w:id="221"/>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5.2.1 发包人的质量管理</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发包人应按照法律规定及合同约定完成与工程质量有关的各项工作。</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5.2.2 承包人的质量管理</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按照第7.1款〔施工组织设计〕约定向发包人和监理人提交工程质量保证体系及措施文件，建立完善的质量检查制度，并提交相应的工程质量文件。对于发包人和监理人违反法律规定和合同约定的错误指示，承包人有权拒绝实施。</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承包人应对施工人员进行质量教育和技术培训，定期考核施工人员的劳动技能，严格执行施工规范和操作规程。</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应按照法律规定和发包人的要求，对材料、工程设备以及工程的所有部位及其施工工艺进行全过程的质量检查和检验，并作详细记录，编制工程质量报表，报送监理人审查。此外，承包人还应按照法律规定和发包人的要求，进行施工现场取样试验、工程复核测量和设备性能检测，提供试验样品、提交试验报告和测量成果以及其他工作。</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5.2.3 监理人的质量检查和检验</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监理人按照法律规定和发包人授权对工程的所有部位及其施工工艺、材料和工程设备进行检查和检验。承包人应为监理人的检查和检验提供方便，包括监理人到施工现场，或制造、加工地点，或合同约定的其他地方进行察看和查阅施工原始记录。监理人为此进行的检查和检验，不免除或减轻承包人按照合同约定应当承担的责任。</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监理人的检查和检验不应影响施工正常进行。监理人的检查和检验影响施工正常进行的，且经检查检验不合格的，影响正常施工的费用由承包人承担，工期不予顺延；经检查检验合格的，由此增加的费用和（或）延误的工期由发包人承担。</w:t>
      </w:r>
    </w:p>
    <w:p>
      <w:pPr>
        <w:keepNext/>
        <w:keepLines/>
        <w:widowControl w:val="0"/>
        <w:tabs>
          <w:tab w:val="left" w:pos="1008"/>
        </w:tabs>
        <w:jc w:val="left"/>
        <w:outlineLvl w:val="4"/>
        <w:rPr>
          <w:rFonts w:ascii="宋体" w:hAnsi="宋体" w:cs="宋体"/>
          <w:kern w:val="0"/>
          <w:szCs w:val="21"/>
        </w:rPr>
      </w:pPr>
      <w:bookmarkStart w:id="222" w:name="_Toc351203535"/>
      <w:r>
        <w:rPr>
          <w:rFonts w:hint="eastAsia" w:ascii="宋体" w:hAnsi="宋体" w:cs="宋体"/>
          <w:kern w:val="0"/>
          <w:szCs w:val="21"/>
        </w:rPr>
        <w:t>5</w:t>
      </w:r>
      <w:bookmarkStart w:id="223" w:name="_Toc337558761"/>
      <w:r>
        <w:rPr>
          <w:rFonts w:hint="eastAsia" w:ascii="宋体" w:hAnsi="宋体" w:cs="宋体"/>
          <w:kern w:val="0"/>
          <w:szCs w:val="21"/>
        </w:rPr>
        <w:t>.3 隐蔽工程检查</w:t>
      </w:r>
      <w:bookmarkEnd w:id="222"/>
    </w:p>
    <w:bookmarkEnd w:id="223"/>
    <w:p>
      <w:pPr>
        <w:widowControl w:val="0"/>
        <w:ind w:firstLine="420" w:firstLineChars="200"/>
        <w:jc w:val="left"/>
        <w:rPr>
          <w:rFonts w:ascii="宋体" w:hAnsi="宋体" w:cs="宋体"/>
          <w:kern w:val="0"/>
          <w:szCs w:val="21"/>
        </w:rPr>
      </w:pPr>
      <w:r>
        <w:rPr>
          <w:rFonts w:hint="eastAsia" w:ascii="宋体" w:hAnsi="宋体" w:cs="宋体"/>
          <w:kern w:val="0"/>
          <w:szCs w:val="21"/>
        </w:rPr>
        <w:t>5.3.1承包人自检</w:t>
      </w:r>
    </w:p>
    <w:p>
      <w:pPr>
        <w:widowControl w:val="0"/>
        <w:ind w:firstLine="420" w:firstLineChars="200"/>
        <w:jc w:val="left"/>
        <w:rPr>
          <w:rFonts w:ascii="宋体" w:hAnsi="宋体" w:cs="宋体"/>
          <w:kern w:val="0"/>
          <w:szCs w:val="21"/>
        </w:rPr>
      </w:pPr>
      <w:r>
        <w:rPr>
          <w:rFonts w:hint="eastAsia" w:ascii="宋体" w:hAnsi="宋体" w:cs="宋体"/>
          <w:kern w:val="0"/>
          <w:szCs w:val="21"/>
        </w:rPr>
        <w:t>承包人应当对工程隐蔽部位进行自检，并经自检确认是否具备覆盖条件。</w:t>
      </w:r>
    </w:p>
    <w:p>
      <w:pPr>
        <w:widowControl w:val="0"/>
        <w:ind w:firstLine="420" w:firstLineChars="200"/>
        <w:jc w:val="left"/>
        <w:rPr>
          <w:rFonts w:ascii="宋体" w:hAnsi="宋体" w:cs="宋体"/>
          <w:kern w:val="0"/>
          <w:szCs w:val="21"/>
        </w:rPr>
      </w:pPr>
      <w:r>
        <w:rPr>
          <w:rFonts w:hint="eastAsia" w:ascii="宋体" w:hAnsi="宋体" w:cs="宋体"/>
          <w:kern w:val="0"/>
          <w:szCs w:val="21"/>
        </w:rPr>
        <w:t>5.3.2检查程序</w:t>
      </w:r>
    </w:p>
    <w:p>
      <w:pPr>
        <w:widowControl w:val="0"/>
        <w:ind w:firstLine="420" w:firstLineChars="200"/>
        <w:jc w:val="left"/>
        <w:rPr>
          <w:rFonts w:ascii="宋体" w:hAnsi="宋体" w:cs="宋体"/>
          <w:kern w:val="0"/>
          <w:szCs w:val="21"/>
        </w:rPr>
      </w:pPr>
      <w:r>
        <w:rPr>
          <w:rFonts w:hint="eastAsia" w:ascii="宋体" w:hAnsi="宋体" w:cs="宋体"/>
          <w:kern w:val="0"/>
          <w:szCs w:val="21"/>
        </w:rPr>
        <w:t>除专用合同条款另有约定外，工程隐蔽部位经承包人自检确认具备覆盖条件的，承包人应在共同检查前48小时书面通知监理人检查，通知中应载明隐蔽检查的内容、时间和地点，并应附有自检记录和必要的检查资料。</w:t>
      </w:r>
    </w:p>
    <w:p>
      <w:pPr>
        <w:widowControl w:val="0"/>
        <w:ind w:firstLine="420" w:firstLineChars="200"/>
        <w:jc w:val="left"/>
        <w:rPr>
          <w:rFonts w:ascii="宋体" w:hAnsi="宋体" w:cs="宋体"/>
          <w:kern w:val="0"/>
          <w:szCs w:val="21"/>
        </w:rPr>
      </w:pPr>
      <w:r>
        <w:rPr>
          <w:rFonts w:hint="eastAsia" w:ascii="宋体" w:hAnsi="宋体" w:cs="宋体"/>
          <w:kern w:val="0"/>
          <w:szCs w:val="21"/>
        </w:rPr>
        <w:t>监理人应按时到场并对隐蔽工程及其施工工艺、材料和工程设备进行检查。经监理人检查确认质量符合隐蔽要求，并在验收记录上签字后，承包人才能进行覆盖。经监理人检查质量不合格的，承包人应在监理人指示的时间内完成修复，并由监理人重新检查，由此增加的费用和（或）延误的工期由承包人承担。</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kern w:val="0"/>
          <w:szCs w:val="21"/>
        </w:rPr>
      </w:pPr>
      <w:r>
        <w:rPr>
          <w:rFonts w:hint="eastAsia" w:ascii="宋体" w:hAnsi="宋体" w:cs="宋体"/>
          <w:kern w:val="0"/>
          <w:szCs w:val="21"/>
        </w:rPr>
        <w:t>除专用合同条款另有约定外，监理人不能按时进行检查的，应在检查前24小时向承包人提交书面延期要求，但延期不能超过48小时，由此导致工期延误的，工期应予以顺延。监理人未按时进行检查，也未提出延期要求的，视为隐蔽工程检查合格，承包人可自行完成覆盖工作，并作相应记录报送监理人，监理人应签字确认。监理人事后对检查记录有疑问的，可按第5.3.3项〔重新检查〕的约定重新检查。</w:t>
      </w:r>
    </w:p>
    <w:p>
      <w:pPr>
        <w:ind w:firstLine="420" w:firstLineChars="200"/>
        <w:jc w:val="left"/>
        <w:rPr>
          <w:rFonts w:ascii="宋体" w:hAnsi="宋体" w:cs="宋体"/>
          <w:kern w:val="0"/>
          <w:szCs w:val="21"/>
        </w:rPr>
      </w:pPr>
      <w:r>
        <w:rPr>
          <w:rFonts w:hint="eastAsia" w:ascii="宋体" w:hAnsi="宋体" w:cs="宋体"/>
          <w:kern w:val="0"/>
          <w:szCs w:val="21"/>
        </w:rPr>
        <w:t>5.3.3 重新检查</w:t>
      </w:r>
    </w:p>
    <w:p>
      <w:pPr>
        <w:ind w:firstLine="420" w:firstLineChars="200"/>
        <w:jc w:val="left"/>
        <w:rPr>
          <w:rFonts w:ascii="宋体" w:hAnsi="宋体" w:cs="宋体"/>
          <w:kern w:val="0"/>
          <w:szCs w:val="21"/>
        </w:rPr>
      </w:pPr>
      <w:r>
        <w:rPr>
          <w:rFonts w:hint="eastAsia" w:ascii="宋体" w:hAnsi="宋体" w:cs="宋体"/>
          <w:kern w:val="0"/>
          <w:szCs w:val="21"/>
        </w:rPr>
        <w:t>承包人覆盖工程隐蔽部位后，发包人或监理人对质量有疑问的，可要求承包人对已覆盖的部位进行钻孔探测或揭开重新检查，承包人应遵照执行，并在检查后重新覆盖恢复原状。经检查证明工程质量符合合同要求的，由发包人承担由此增加的费用和（或）延误的工期，并支付承包人合理的利润；经检查证明工程质量不符合合同要求的，由此增加的费用和（或）延误的工期由承包人承担。</w:t>
      </w:r>
    </w:p>
    <w:p>
      <w:pPr>
        <w:ind w:firstLine="420" w:firstLineChars="200"/>
        <w:jc w:val="left"/>
        <w:rPr>
          <w:rFonts w:ascii="宋体" w:hAnsi="宋体" w:cs="宋体"/>
          <w:kern w:val="0"/>
          <w:szCs w:val="21"/>
        </w:rPr>
      </w:pPr>
      <w:r>
        <w:rPr>
          <w:rFonts w:hint="eastAsia" w:ascii="宋体" w:hAnsi="宋体" w:cs="宋体"/>
          <w:kern w:val="0"/>
          <w:szCs w:val="21"/>
        </w:rPr>
        <w:t>5.3.4 承包人私自覆盖</w:t>
      </w:r>
    </w:p>
    <w:p>
      <w:pPr>
        <w:ind w:firstLine="420" w:firstLineChars="200"/>
        <w:jc w:val="left"/>
        <w:rPr>
          <w:rFonts w:ascii="宋体" w:hAnsi="宋体" w:cs="宋体"/>
          <w:szCs w:val="21"/>
        </w:rPr>
      </w:pPr>
      <w:r>
        <w:rPr>
          <w:rFonts w:hint="eastAsia" w:ascii="宋体" w:hAnsi="宋体" w:cs="宋体"/>
          <w:kern w:val="0"/>
          <w:szCs w:val="21"/>
        </w:rPr>
        <w:t>承包人未通知监理人到场检查，私自将工程隐蔽部位覆盖的，监理人有权指示承包人钻孔探测或揭开检查，无论工程隐蔽部位质量是否合格，由此增加的费用和（或）延误的工期均由承包人承担。</w:t>
      </w:r>
    </w:p>
    <w:p>
      <w:pPr>
        <w:keepNext/>
        <w:keepLines/>
        <w:tabs>
          <w:tab w:val="left" w:pos="1008"/>
        </w:tabs>
        <w:jc w:val="left"/>
        <w:outlineLvl w:val="4"/>
        <w:rPr>
          <w:rFonts w:ascii="宋体" w:hAnsi="宋体" w:cs="宋体"/>
          <w:kern w:val="0"/>
          <w:szCs w:val="21"/>
        </w:rPr>
      </w:pPr>
      <w:bookmarkStart w:id="224" w:name="_Toc351203536"/>
      <w:r>
        <w:rPr>
          <w:rFonts w:hint="eastAsia" w:ascii="宋体" w:hAnsi="宋体" w:cs="宋体"/>
          <w:kern w:val="0"/>
          <w:szCs w:val="21"/>
        </w:rPr>
        <w:t>5</w:t>
      </w:r>
      <w:bookmarkStart w:id="225" w:name="_Toc337558762"/>
      <w:r>
        <w:rPr>
          <w:rFonts w:hint="eastAsia" w:ascii="宋体" w:hAnsi="宋体" w:cs="宋体"/>
          <w:kern w:val="0"/>
          <w:szCs w:val="21"/>
        </w:rPr>
        <w:t>.4不合格工程的处理</w:t>
      </w:r>
      <w:bookmarkEnd w:id="224"/>
    </w:p>
    <w:bookmarkEnd w:id="225"/>
    <w:p>
      <w:pPr>
        <w:ind w:firstLine="420" w:firstLineChars="200"/>
        <w:jc w:val="left"/>
        <w:rPr>
          <w:rFonts w:ascii="宋体" w:hAnsi="宋体" w:cs="宋体"/>
          <w:kern w:val="0"/>
          <w:szCs w:val="21"/>
        </w:rPr>
      </w:pPr>
      <w:r>
        <w:rPr>
          <w:rFonts w:hint="eastAsia" w:ascii="宋体" w:hAnsi="宋体" w:cs="宋体"/>
          <w:kern w:val="0"/>
          <w:szCs w:val="21"/>
        </w:rPr>
        <w:t>5.4.1 因承包人原因造成工程不合格的，发包人有权随时要求承包人采取补救措施，直至达到合同要求的质量标准，由此增加的费用和（或）延误的工期由承包人承担。无法补救的，按照第13.2.4项〔拒绝接收全部或部分工程〕约定执行。</w:t>
      </w:r>
    </w:p>
    <w:p>
      <w:pPr>
        <w:ind w:firstLine="420" w:firstLineChars="200"/>
        <w:jc w:val="left"/>
        <w:rPr>
          <w:rFonts w:ascii="宋体" w:hAnsi="宋体" w:cs="宋体"/>
          <w:kern w:val="0"/>
          <w:szCs w:val="21"/>
        </w:rPr>
      </w:pPr>
      <w:r>
        <w:rPr>
          <w:rFonts w:hint="eastAsia" w:ascii="宋体" w:hAnsi="宋体" w:cs="宋体"/>
          <w:kern w:val="0"/>
          <w:szCs w:val="21"/>
        </w:rPr>
        <w:t>5.4.2 因发包人原因造成工程不合格的，由此增加的费用和（或）延误的工期由发包人承担，并支付承包人合理的利润。</w:t>
      </w:r>
    </w:p>
    <w:p>
      <w:pPr>
        <w:keepNext/>
        <w:keepLines/>
        <w:tabs>
          <w:tab w:val="left" w:pos="1008"/>
        </w:tabs>
        <w:jc w:val="left"/>
        <w:outlineLvl w:val="4"/>
        <w:rPr>
          <w:rFonts w:ascii="宋体" w:hAnsi="宋体" w:cs="宋体"/>
          <w:kern w:val="0"/>
          <w:szCs w:val="21"/>
        </w:rPr>
      </w:pPr>
      <w:bookmarkStart w:id="226" w:name="_Toc351203537"/>
      <w:r>
        <w:rPr>
          <w:rFonts w:hint="eastAsia" w:ascii="宋体" w:hAnsi="宋体" w:cs="宋体"/>
          <w:kern w:val="0"/>
          <w:szCs w:val="21"/>
        </w:rPr>
        <w:t>5.5 质量争议检测</w:t>
      </w:r>
      <w:bookmarkEnd w:id="226"/>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合同当事人对工程质量有争议的，由双方协商确定的工程质量检测机构鉴定，由此产生的费用及因此造成的损失，由责任方承担。</w:t>
      </w:r>
    </w:p>
    <w:p>
      <w:pPr>
        <w:autoSpaceDE w:val="0"/>
        <w:autoSpaceDN w:val="0"/>
        <w:adjustRightInd w:val="0"/>
        <w:jc w:val="left"/>
        <w:rPr>
          <w:rFonts w:ascii="宋体" w:hAnsi="宋体" w:cs="宋体"/>
          <w:kern w:val="0"/>
          <w:szCs w:val="21"/>
        </w:rPr>
      </w:pPr>
      <w:r>
        <w:rPr>
          <w:rFonts w:hint="eastAsia" w:ascii="宋体" w:hAnsi="宋体" w:cs="宋体"/>
          <w:kern w:val="0"/>
          <w:szCs w:val="21"/>
        </w:rPr>
        <w:t>合同当事人均有责任的，由双方根据其责任分别承担。合同当事人无法达成一致的，按照第4.4款〔商定或确定〕执行。</w:t>
      </w:r>
    </w:p>
    <w:p>
      <w:pPr>
        <w:keepNext/>
        <w:keepLines/>
        <w:tabs>
          <w:tab w:val="left" w:pos="864"/>
        </w:tabs>
        <w:jc w:val="left"/>
        <w:outlineLvl w:val="3"/>
        <w:rPr>
          <w:rFonts w:ascii="宋体" w:hAnsi="宋体" w:cs="宋体"/>
          <w:kern w:val="0"/>
          <w:szCs w:val="21"/>
        </w:rPr>
      </w:pPr>
      <w:bookmarkStart w:id="227" w:name="_Toc351203538"/>
      <w:r>
        <w:rPr>
          <w:rFonts w:hint="eastAsia" w:ascii="宋体" w:hAnsi="宋体" w:cs="宋体"/>
          <w:kern w:val="0"/>
          <w:szCs w:val="21"/>
        </w:rPr>
        <w:t>6</w:t>
      </w:r>
      <w:bookmarkStart w:id="228" w:name="_Toc337558763"/>
      <w:r>
        <w:rPr>
          <w:rFonts w:hint="eastAsia" w:ascii="宋体" w:hAnsi="宋体" w:cs="宋体"/>
          <w:kern w:val="0"/>
          <w:szCs w:val="21"/>
        </w:rPr>
        <w:t>. 安全文明施工与环境保护</w:t>
      </w:r>
      <w:bookmarkEnd w:id="227"/>
    </w:p>
    <w:bookmarkEnd w:id="228"/>
    <w:p>
      <w:pPr>
        <w:keepNext/>
        <w:keepLines/>
        <w:tabs>
          <w:tab w:val="left" w:pos="1008"/>
        </w:tabs>
        <w:jc w:val="left"/>
        <w:outlineLvl w:val="4"/>
        <w:rPr>
          <w:rFonts w:ascii="宋体" w:hAnsi="宋体" w:cs="宋体"/>
          <w:kern w:val="0"/>
          <w:szCs w:val="21"/>
        </w:rPr>
      </w:pPr>
      <w:bookmarkStart w:id="229" w:name="_Toc351203539"/>
      <w:r>
        <w:rPr>
          <w:rFonts w:hint="eastAsia" w:ascii="宋体" w:hAnsi="宋体" w:cs="宋体"/>
          <w:kern w:val="0"/>
          <w:szCs w:val="21"/>
        </w:rPr>
        <w:t>6</w:t>
      </w:r>
      <w:bookmarkStart w:id="230" w:name="_Toc337558764"/>
      <w:r>
        <w:rPr>
          <w:rFonts w:hint="eastAsia" w:ascii="宋体" w:hAnsi="宋体" w:cs="宋体"/>
          <w:kern w:val="0"/>
          <w:szCs w:val="21"/>
        </w:rPr>
        <w:t>.1安全文明施工</w:t>
      </w:r>
      <w:bookmarkEnd w:id="229"/>
    </w:p>
    <w:bookmarkEnd w:id="230"/>
    <w:p>
      <w:pPr>
        <w:widowControl w:val="0"/>
        <w:ind w:firstLine="420" w:firstLineChars="200"/>
        <w:rPr>
          <w:rFonts w:ascii="宋体" w:hAnsi="宋体" w:cs="宋体"/>
          <w:szCs w:val="21"/>
        </w:rPr>
      </w:pPr>
      <w:r>
        <w:rPr>
          <w:rFonts w:hint="eastAsia" w:ascii="宋体" w:hAnsi="宋体" w:cs="宋体"/>
          <w:szCs w:val="21"/>
        </w:rPr>
        <w:t>6.1.1安全生产要求</w:t>
      </w:r>
    </w:p>
    <w:p>
      <w:pPr>
        <w:widowControl w:val="0"/>
        <w:ind w:firstLine="420" w:firstLineChars="200"/>
        <w:rPr>
          <w:rFonts w:ascii="宋体" w:hAnsi="宋体" w:cs="宋体"/>
          <w:szCs w:val="21"/>
        </w:rPr>
      </w:pPr>
      <w:r>
        <w:rPr>
          <w:rFonts w:hint="eastAsia" w:ascii="宋体" w:hAnsi="宋体" w:cs="宋体"/>
          <w:szCs w:val="21"/>
        </w:rPr>
        <w:t>合同履行期间，合同当事人均应当遵守国家和工程所在地有关安全生产的要求，合同当事人有特别要求的，应在专用合同条款中明确施工项目安全生产标准化达标目标及相应事项。承包人有权拒绝发包人及监理人强令承包人违章作业、冒险施工的任何指示。</w:t>
      </w:r>
    </w:p>
    <w:p>
      <w:pPr>
        <w:widowControl w:val="0"/>
        <w:ind w:firstLine="420" w:firstLineChars="200"/>
        <w:rPr>
          <w:rFonts w:ascii="宋体" w:hAnsi="宋体" w:cs="宋体"/>
          <w:szCs w:val="21"/>
        </w:rPr>
      </w:pPr>
      <w:r>
        <w:rPr>
          <w:rFonts w:hint="eastAsia" w:ascii="宋体" w:hAnsi="宋体" w:cs="宋体"/>
          <w:szCs w:val="21"/>
        </w:rPr>
        <w:t>在施工过程中，如遇到突发的地质变动、事先未知的地下施工障碍等影响施工安全的紧急情况，承包人应及时报告监理人和发包人，发包人应当及时下令停工并报</w:t>
      </w:r>
      <w:r>
        <w:rPr>
          <w:rFonts w:hint="eastAsia" w:ascii="宋体" w:hAnsi="宋体" w:cs="宋体"/>
          <w:kern w:val="0"/>
          <w:szCs w:val="21"/>
        </w:rPr>
        <w:t>政府有关行政管理部门</w:t>
      </w:r>
      <w:r>
        <w:rPr>
          <w:rFonts w:hint="eastAsia" w:ascii="宋体" w:hAnsi="宋体" w:cs="宋体"/>
          <w:szCs w:val="21"/>
        </w:rPr>
        <w:t>采取应急措施。</w:t>
      </w:r>
    </w:p>
    <w:p>
      <w:pPr>
        <w:widowControl w:val="0"/>
        <w:ind w:firstLine="420" w:firstLineChars="200"/>
        <w:rPr>
          <w:rFonts w:ascii="宋体" w:hAnsi="宋体" w:cs="宋体"/>
          <w:szCs w:val="21"/>
        </w:rPr>
      </w:pPr>
      <w:r>
        <w:rPr>
          <w:rFonts w:hint="eastAsia" w:ascii="宋体" w:hAnsi="宋体" w:cs="宋体"/>
          <w:szCs w:val="21"/>
        </w:rPr>
        <w:t>因安全生产需要暂停施工的，按照第7.8款〔暂停施工〕的约定执行。</w:t>
      </w:r>
    </w:p>
    <w:p>
      <w:pPr>
        <w:widowControl w:val="0"/>
        <w:ind w:firstLine="420" w:firstLineChars="200"/>
        <w:rPr>
          <w:rFonts w:ascii="宋体" w:hAnsi="宋体" w:cs="宋体"/>
          <w:szCs w:val="21"/>
        </w:rPr>
      </w:pPr>
      <w:r>
        <w:rPr>
          <w:rFonts w:hint="eastAsia" w:ascii="宋体" w:hAnsi="宋体" w:cs="宋体"/>
          <w:szCs w:val="21"/>
        </w:rPr>
        <w:t>6.1.2 安全生产保证措施</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szCs w:val="21"/>
        </w:rPr>
        <w:t>承包人应当按照有关</w:t>
      </w:r>
      <w:r>
        <w:rPr>
          <w:rFonts w:hint="eastAsia" w:ascii="宋体" w:hAnsi="宋体" w:cs="宋体"/>
          <w:kern w:val="0"/>
          <w:szCs w:val="21"/>
        </w:rPr>
        <w:t>规定编制安全技术措施或者专项施工方案，</w:t>
      </w:r>
      <w:r>
        <w:rPr>
          <w:rFonts w:hint="eastAsia" w:ascii="宋体" w:hAnsi="宋体" w:cs="宋体"/>
          <w:szCs w:val="21"/>
        </w:rPr>
        <w:t>建立安全生产责任制度、治安保卫制度及安全生产教育培训制度，并</w:t>
      </w:r>
      <w:r>
        <w:rPr>
          <w:rFonts w:hint="eastAsia" w:ascii="宋体" w:hAnsi="宋体" w:cs="宋体"/>
          <w:kern w:val="0"/>
          <w:szCs w:val="21"/>
        </w:rPr>
        <w:t>按安全生产法律规定及合同约定履行安全职责，如实</w:t>
      </w:r>
      <w:r>
        <w:rPr>
          <w:rFonts w:hint="eastAsia" w:ascii="宋体" w:hAnsi="宋体" w:cs="宋体"/>
          <w:szCs w:val="21"/>
        </w:rPr>
        <w:t>编制工程安全生产的有关记录，</w:t>
      </w:r>
      <w:r>
        <w:rPr>
          <w:rFonts w:hint="eastAsia" w:ascii="宋体" w:hAnsi="宋体" w:cs="宋体"/>
          <w:kern w:val="0"/>
          <w:szCs w:val="21"/>
        </w:rPr>
        <w:t>接受发包人、监理人及政府安全监督部门的检查与监督。</w:t>
      </w:r>
    </w:p>
    <w:p>
      <w:pPr>
        <w:widowControl w:val="0"/>
        <w:ind w:firstLine="420" w:firstLineChars="200"/>
        <w:rPr>
          <w:rFonts w:ascii="宋体" w:hAnsi="宋体" w:cs="宋体"/>
          <w:szCs w:val="21"/>
        </w:rPr>
      </w:pPr>
      <w:r>
        <w:rPr>
          <w:rFonts w:hint="eastAsia" w:ascii="宋体" w:hAnsi="宋体" w:cs="宋体"/>
          <w:szCs w:val="21"/>
        </w:rPr>
        <w:t>6.1.3特别安全生产事项</w:t>
      </w:r>
    </w:p>
    <w:p>
      <w:pPr>
        <w:widowControl w:val="0"/>
        <w:ind w:firstLine="420" w:firstLineChars="200"/>
        <w:rPr>
          <w:rFonts w:ascii="宋体" w:hAnsi="宋体" w:cs="宋体"/>
          <w:szCs w:val="21"/>
        </w:rPr>
      </w:pPr>
      <w:r>
        <w:rPr>
          <w:rFonts w:hint="eastAsia" w:ascii="宋体" w:hAnsi="宋体" w:cs="宋体"/>
          <w:szCs w:val="21"/>
        </w:rPr>
        <w:t>承包人应按照法律规定进行施工，开工前做好安全技术交底工作，施工过程中做好各项安全防护措施。承包人为实施合同而雇用的特殊工种的人员应受过专门的培训并已取得政府有关管理机构颁发的上岗证书。</w:t>
      </w:r>
    </w:p>
    <w:p>
      <w:pPr>
        <w:widowControl w:val="0"/>
        <w:ind w:firstLine="420" w:firstLineChars="200"/>
        <w:rPr>
          <w:rFonts w:ascii="宋体" w:hAnsi="宋体" w:cs="宋体"/>
          <w:szCs w:val="21"/>
        </w:rPr>
      </w:pPr>
      <w:r>
        <w:rPr>
          <w:rFonts w:hint="eastAsia" w:ascii="宋体" w:hAnsi="宋体" w:cs="宋体"/>
          <w:szCs w:val="21"/>
        </w:rPr>
        <w:t>承包人在动力设备、输电线路、地下管道、密封防震车间、易燃易爆地段以及临街交通要道附近施工时，施工开始前应向发包人和监理人提出安全防护措施，经发包人认可后实施。</w:t>
      </w:r>
    </w:p>
    <w:p>
      <w:pPr>
        <w:widowControl w:val="0"/>
        <w:ind w:firstLine="420" w:firstLineChars="200"/>
        <w:rPr>
          <w:rFonts w:ascii="宋体" w:hAnsi="宋体" w:cs="宋体"/>
          <w:szCs w:val="21"/>
        </w:rPr>
      </w:pPr>
      <w:r>
        <w:rPr>
          <w:rFonts w:hint="eastAsia" w:ascii="宋体" w:hAnsi="宋体" w:cs="宋体"/>
          <w:szCs w:val="21"/>
        </w:rPr>
        <w:t>实施爆破作业，在放射、毒害性环境中施工（含储存、运输、使用）及使用毒害性、腐蚀性物品施工时，承包人应在施工前7天以书面通知发包人和监理人，并报送相应的安全防护措施，经发包人认可后实施。</w:t>
      </w:r>
    </w:p>
    <w:p>
      <w:pPr>
        <w:widowControl w:val="0"/>
        <w:ind w:firstLine="420" w:firstLineChars="200"/>
        <w:rPr>
          <w:rFonts w:ascii="宋体" w:hAnsi="宋体" w:cs="宋体"/>
          <w:szCs w:val="21"/>
        </w:rPr>
      </w:pPr>
      <w:r>
        <w:rPr>
          <w:rFonts w:hint="eastAsia" w:ascii="宋体" w:hAnsi="宋体" w:cs="宋体"/>
          <w:szCs w:val="21"/>
        </w:rPr>
        <w:t>需单独编制危险性较大分部分项专项工程施工方案的，及要求进行专家论证的超过一定规模的危险性较大的分部分项工程，承包人应及时编制和组织论证。</w:t>
      </w:r>
    </w:p>
    <w:p>
      <w:pPr>
        <w:widowControl w:val="0"/>
        <w:ind w:firstLine="420" w:firstLineChars="200"/>
        <w:rPr>
          <w:rFonts w:ascii="宋体" w:hAnsi="宋体" w:cs="宋体"/>
          <w:szCs w:val="21"/>
        </w:rPr>
      </w:pPr>
      <w:r>
        <w:rPr>
          <w:rFonts w:hint="eastAsia" w:ascii="宋体" w:hAnsi="宋体" w:cs="宋体"/>
          <w:szCs w:val="21"/>
        </w:rPr>
        <w:t>6.1.4 治安保卫</w:t>
      </w:r>
    </w:p>
    <w:p>
      <w:pPr>
        <w:widowControl w:val="0"/>
        <w:ind w:firstLine="420" w:firstLineChars="200"/>
        <w:rPr>
          <w:rFonts w:ascii="宋体" w:hAnsi="宋体" w:cs="宋体"/>
          <w:szCs w:val="21"/>
        </w:rPr>
      </w:pPr>
      <w:r>
        <w:rPr>
          <w:rFonts w:hint="eastAsia" w:ascii="宋体" w:hAnsi="宋体" w:cs="宋体"/>
          <w:szCs w:val="21"/>
        </w:rPr>
        <w:t>除专用合同条款另有约定外，发包人应与当地公安部门协商，在现场建立治安管理机构或联防组织，统一管理施工场地的治安保卫事项，履行合同工程的治安保卫职责。</w:t>
      </w:r>
    </w:p>
    <w:p>
      <w:pPr>
        <w:widowControl w:val="0"/>
        <w:ind w:firstLine="420" w:firstLineChars="200"/>
        <w:rPr>
          <w:rFonts w:ascii="宋体" w:hAnsi="宋体" w:cs="宋体"/>
          <w:szCs w:val="21"/>
        </w:rPr>
      </w:pPr>
      <w:r>
        <w:rPr>
          <w:rFonts w:hint="eastAsia" w:ascii="宋体" w:hAnsi="宋体" w:cs="宋体"/>
          <w:szCs w:val="21"/>
        </w:rPr>
        <w:t>发包人和承包人除应协助现场治安管理机构或联防组织维护施工场地的社会治安外，还应做好包括生活区在内的各自管辖区的治安保卫工作。</w:t>
      </w:r>
    </w:p>
    <w:p>
      <w:pPr>
        <w:widowControl w:val="0"/>
        <w:ind w:firstLine="420" w:firstLineChars="200"/>
        <w:rPr>
          <w:rFonts w:ascii="宋体" w:hAnsi="宋体" w:cs="宋体"/>
          <w:szCs w:val="21"/>
        </w:rPr>
      </w:pPr>
      <w:r>
        <w:rPr>
          <w:rFonts w:hint="eastAsia" w:ascii="宋体" w:hAnsi="宋体" w:cs="宋体"/>
          <w:szCs w:val="21"/>
        </w:rPr>
        <w:t>除专用合同条款另有约定外，发包人和承包人应在工程开工后7天内共同编制施工场地治安管理计划，并制定应对突发治安事件的紧急预案。在工程施工过程中，发生暴乱、爆炸等恐怖事件，以及群殴、械斗等群体性突发治安事件的，发包人和承包人应立即向当地政府报告。发包人和承包人应积极协助当地有关部门采取措施平息事态，防止事态扩大，尽量避免人员伤亡和财产损失。</w:t>
      </w:r>
    </w:p>
    <w:p>
      <w:pPr>
        <w:ind w:firstLine="420" w:firstLineChars="200"/>
        <w:rPr>
          <w:rFonts w:ascii="宋体" w:hAnsi="宋体" w:cs="宋体"/>
          <w:kern w:val="0"/>
          <w:szCs w:val="21"/>
        </w:rPr>
      </w:pPr>
      <w:r>
        <w:rPr>
          <w:rFonts w:hint="eastAsia" w:ascii="宋体" w:hAnsi="宋体" w:cs="宋体"/>
          <w:szCs w:val="21"/>
        </w:rPr>
        <w:t>6.1.5 文明施工</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承包人在工程施工期间，应当采取措施保持施工现场平整，物料堆放整齐。工程所在地有关政府行政管理部门有特殊要求的，按照其要求执行。合同当事人对文明施工有其他要求的，可以在专用合同条款中明确。</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在工程移交之前，承包人应当从施工现场清除承包人的全部工程设备、多余材料、垃圾和各种临时工程，并保持施工现场清洁整齐。经发包人书面同意，承包人可在发包人指定的地点保留承包人履行保修期内的各项义务所需要的材料、施工设备和临时工程。</w:t>
      </w:r>
    </w:p>
    <w:p>
      <w:pPr>
        <w:ind w:firstLine="420" w:firstLineChars="200"/>
        <w:rPr>
          <w:rFonts w:ascii="宋体" w:hAnsi="宋体" w:cs="宋体"/>
          <w:szCs w:val="21"/>
        </w:rPr>
      </w:pPr>
      <w:r>
        <w:rPr>
          <w:rFonts w:hint="eastAsia" w:ascii="宋体" w:hAnsi="宋体" w:cs="宋体"/>
          <w:szCs w:val="21"/>
        </w:rPr>
        <w:t>6.1.6 安全文明施工费</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安全文明施工费由发包人承担，发包人不得以任何形式扣减该部分费用。因基准日期后合同所适用的法律或政府有关规定发生变化，增加的安全文明施工费由发包人承担。</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经发包人同意采取合同约定以外的安全措施所产生的费用，由发包人承担。未经发包人同意的，如果该措施避免了发包人的损失，则发包人在避免损失的额度内承担该措施费。如果该措施避免了承包人的损失，由承包人承担该措施费。</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专用合同条款另有约定外，发包人应在开工后28天内预付安全文明施工费总额的50%，其余部分与进度款同期支付。发包人逾期支付安全文明施工费超过7天的，承包人有权向发包人发出要求预付的催告通知，发包人收到通知后7天内仍未支付的，承包人有权暂停施工，并按第16.1.1项〔发包人违约的情形〕执行。</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对安全文明施工费应专款专用，承包人应在财务账目中单独列项备查，不得挪作他用，否则发包人有权责令其限期改正；逾期未改正的，可以责令其暂停施工，由此增加的费用和（或）延误的工期由承包人承担。</w:t>
      </w:r>
    </w:p>
    <w:p>
      <w:pPr>
        <w:ind w:firstLine="420" w:firstLineChars="200"/>
        <w:jc w:val="left"/>
        <w:rPr>
          <w:rFonts w:ascii="宋体" w:hAnsi="宋体" w:cs="宋体"/>
          <w:kern w:val="0"/>
          <w:szCs w:val="21"/>
        </w:rPr>
      </w:pPr>
      <w:r>
        <w:rPr>
          <w:rFonts w:hint="eastAsia" w:ascii="宋体" w:hAnsi="宋体" w:cs="宋体"/>
          <w:kern w:val="0"/>
          <w:szCs w:val="21"/>
        </w:rPr>
        <w:t>6.1.7 紧急情况处理</w:t>
      </w:r>
    </w:p>
    <w:p>
      <w:pPr>
        <w:ind w:firstLine="420" w:firstLineChars="200"/>
        <w:jc w:val="left"/>
        <w:rPr>
          <w:rFonts w:ascii="宋体" w:hAnsi="宋体" w:cs="宋体"/>
          <w:kern w:val="0"/>
          <w:szCs w:val="21"/>
        </w:rPr>
      </w:pPr>
      <w:r>
        <w:rPr>
          <w:rFonts w:hint="eastAsia" w:ascii="宋体" w:hAnsi="宋体" w:cs="宋体"/>
          <w:kern w:val="0"/>
          <w:szCs w:val="21"/>
        </w:rPr>
        <w:t>在工程实施期间或缺陷责任期内发生危及工程安全的事件，监理人通知承包人进行抢救，承包人声明无能力或不愿立即执行的，发包人有权雇佣其他人员进行抢救。此类抢救按合同约定属于承包人义务的，由此增加的费用和（或）延误的工期由承包人承担。</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6.1.8 事故处理</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工程施工过程中发生事故的，承包人应立即通知监理人，监理人应立即通知发包人。发包人和承包人应立即组织人员和设备进行紧急抢救和抢修，减少人员伤亡和财产损失，防止事故扩大，并保护事故现场。需要移动现场物品时，应作出标记和书面记录，妥善保管有关证据。发包人和承包人应按国家有关规定，及时如实地向有关部门报告事故发生的情况，以及正在采取的紧急措施等。</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6.1.9 安全生产责任</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6.1.9.1 发包人的安全责任</w:t>
      </w:r>
    </w:p>
    <w:p>
      <w:pPr>
        <w:ind w:firstLine="420" w:firstLineChars="200"/>
        <w:rPr>
          <w:rFonts w:ascii="宋体" w:hAnsi="宋体" w:cs="宋体"/>
          <w:szCs w:val="21"/>
        </w:rPr>
      </w:pPr>
      <w:r>
        <w:rPr>
          <w:rFonts w:hint="eastAsia" w:ascii="宋体" w:hAnsi="宋体" w:cs="宋体"/>
          <w:szCs w:val="21"/>
        </w:rPr>
        <w:t>发包人应负责赔偿以下各种情况造成的损失：</w:t>
      </w:r>
    </w:p>
    <w:p>
      <w:pPr>
        <w:ind w:firstLine="420" w:firstLineChars="200"/>
        <w:rPr>
          <w:rFonts w:ascii="宋体" w:hAnsi="宋体" w:cs="宋体"/>
          <w:szCs w:val="21"/>
        </w:rPr>
      </w:pPr>
      <w:r>
        <w:rPr>
          <w:rFonts w:hint="eastAsia" w:ascii="宋体" w:hAnsi="宋体" w:cs="宋体"/>
          <w:szCs w:val="21"/>
        </w:rPr>
        <w:t>（1）工程或工程的任何部分对土地的占用所造成的第三者财产损失；</w:t>
      </w:r>
    </w:p>
    <w:p>
      <w:pPr>
        <w:ind w:firstLine="420" w:firstLineChars="200"/>
        <w:rPr>
          <w:rFonts w:ascii="宋体" w:hAnsi="宋体" w:cs="宋体"/>
          <w:szCs w:val="21"/>
        </w:rPr>
      </w:pPr>
      <w:r>
        <w:rPr>
          <w:rFonts w:hint="eastAsia" w:ascii="宋体" w:hAnsi="宋体" w:cs="宋体"/>
          <w:szCs w:val="21"/>
        </w:rPr>
        <w:t>（2）由于发包人原因在施工场地及其毗邻地带造成的第三者人身伤亡和财产损失；</w:t>
      </w:r>
    </w:p>
    <w:p>
      <w:pPr>
        <w:ind w:firstLine="420" w:firstLineChars="200"/>
        <w:rPr>
          <w:rFonts w:ascii="宋体" w:hAnsi="宋体" w:cs="宋体"/>
          <w:szCs w:val="21"/>
        </w:rPr>
      </w:pPr>
      <w:r>
        <w:rPr>
          <w:rFonts w:hint="eastAsia" w:ascii="宋体" w:hAnsi="宋体" w:cs="宋体"/>
          <w:szCs w:val="21"/>
        </w:rPr>
        <w:t>（3）由于发包人原因对承包人、监理人造成的人员人身伤亡和财产损失；</w:t>
      </w:r>
    </w:p>
    <w:p>
      <w:pPr>
        <w:ind w:firstLine="420" w:firstLineChars="200"/>
        <w:rPr>
          <w:rFonts w:ascii="宋体" w:hAnsi="宋体" w:cs="宋体"/>
          <w:szCs w:val="21"/>
        </w:rPr>
      </w:pPr>
      <w:r>
        <w:rPr>
          <w:rFonts w:hint="eastAsia" w:ascii="宋体" w:hAnsi="宋体" w:cs="宋体"/>
          <w:szCs w:val="21"/>
        </w:rPr>
        <w:t>（4）由于发包人原因造成的发包人自身人员的人身伤害以及财产损失。</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6.1.9.2 承包人的安全责任</w:t>
      </w:r>
    </w:p>
    <w:p>
      <w:pPr>
        <w:ind w:firstLine="420" w:firstLineChars="200"/>
        <w:rPr>
          <w:rFonts w:ascii="宋体" w:hAnsi="宋体" w:cs="宋体"/>
          <w:kern w:val="0"/>
          <w:szCs w:val="21"/>
        </w:rPr>
      </w:pPr>
      <w:r>
        <w:rPr>
          <w:rFonts w:hint="eastAsia" w:ascii="宋体" w:hAnsi="宋体" w:cs="宋体"/>
          <w:szCs w:val="21"/>
        </w:rPr>
        <w:t>由于承包人原因在施工场地内及其毗邻地带造成的发包人、监理人以及第三者人员伤亡和财产损失，由承包人负责赔偿。</w:t>
      </w:r>
    </w:p>
    <w:p>
      <w:pPr>
        <w:keepNext/>
        <w:keepLines/>
        <w:tabs>
          <w:tab w:val="left" w:pos="1008"/>
        </w:tabs>
        <w:jc w:val="left"/>
        <w:outlineLvl w:val="4"/>
        <w:rPr>
          <w:rFonts w:ascii="宋体" w:hAnsi="宋体" w:cs="宋体"/>
          <w:kern w:val="0"/>
          <w:szCs w:val="21"/>
        </w:rPr>
      </w:pPr>
      <w:bookmarkStart w:id="231" w:name="_Toc351203540"/>
      <w:r>
        <w:rPr>
          <w:rFonts w:hint="eastAsia" w:ascii="宋体" w:hAnsi="宋体" w:cs="宋体"/>
          <w:kern w:val="0"/>
          <w:szCs w:val="21"/>
        </w:rPr>
        <w:t>6</w:t>
      </w:r>
      <w:bookmarkStart w:id="232" w:name="_Toc337558765"/>
      <w:r>
        <w:rPr>
          <w:rFonts w:hint="eastAsia" w:ascii="宋体" w:hAnsi="宋体" w:cs="宋体"/>
          <w:kern w:val="0"/>
          <w:szCs w:val="21"/>
        </w:rPr>
        <w:t>.2 职业健康</w:t>
      </w:r>
      <w:bookmarkEnd w:id="231"/>
    </w:p>
    <w:bookmarkEnd w:id="232"/>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6.2.1 劳动保护</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应按照法律规定安排现场施工人员的劳动和休息时间，保障劳动者的休息时间，并支付合理的报酬和费用。承包人应依法为其履行合同所雇用的人员办理必要的证件、许可、保险和注册等，承包人应督促其分包人为分包人所雇用的人员办理必要的证件、许可、保险和注册等。</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应按照法律规定保障现场施工人员的劳动安全，并提供劳动保护,并应按国家有关劳动保护的规定，采取有效的防止粉尘、降低噪声、控制有害气体和保障高温、高寒、高空作业安全等劳动保护措施。承包人雇佣人员在施工中受到伤害的，承包人应立即采取有效措施进行抢救和治疗。</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承包人应按法律规定安排工作时间，保证其雇佣人员享有休息和休假的权利。因工程施工的特殊需要占用休假日或延长工作时间的，应不超过法律规定的限度，并按法律规定给予补休或付酬。</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6.2.2 生活条件</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承包人应为其履行合同所雇用的人员提供必要的膳宿条件和生活环境；承包人应采取有效措施预防传染病，保证施工人员的健康，并定期对施工现场、施工人员生活基地和工程进行防疫和卫生的专业检查和处理, 在远离城镇的施工场地，还应配备必要的伤病防治和急救的医务人员与医疗设施。</w:t>
      </w:r>
    </w:p>
    <w:p>
      <w:pPr>
        <w:keepNext w:val="0"/>
        <w:keepLines w:val="0"/>
        <w:pageBreakBefore w:val="0"/>
        <w:widowControl w:val="0"/>
        <w:tabs>
          <w:tab w:val="left" w:pos="1008"/>
        </w:tabs>
        <w:kinsoku/>
        <w:wordWrap/>
        <w:overflowPunct/>
        <w:topLinePunct w:val="0"/>
        <w:bidi w:val="0"/>
        <w:snapToGrid/>
        <w:jc w:val="left"/>
        <w:textAlignment w:val="auto"/>
        <w:outlineLvl w:val="4"/>
        <w:rPr>
          <w:rFonts w:ascii="宋体" w:hAnsi="宋体" w:cs="宋体"/>
          <w:kern w:val="0"/>
          <w:szCs w:val="21"/>
        </w:rPr>
      </w:pPr>
      <w:bookmarkStart w:id="233" w:name="_Toc351203541"/>
      <w:r>
        <w:rPr>
          <w:rFonts w:hint="eastAsia" w:ascii="宋体" w:hAnsi="宋体" w:cs="宋体"/>
          <w:kern w:val="0"/>
          <w:szCs w:val="21"/>
        </w:rPr>
        <w:t>6</w:t>
      </w:r>
      <w:bookmarkStart w:id="234" w:name="_Toc337558766"/>
      <w:r>
        <w:rPr>
          <w:rFonts w:hint="eastAsia" w:ascii="宋体" w:hAnsi="宋体" w:cs="宋体"/>
          <w:kern w:val="0"/>
          <w:szCs w:val="21"/>
        </w:rPr>
        <w:t>.3 环境保护</w:t>
      </w:r>
      <w:bookmarkEnd w:id="233"/>
    </w:p>
    <w:bookmarkEnd w:id="234"/>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承包人应在施工组织设计中列明环境保护的具体措施。在合同履行期间，承包人应采取合理措施保护施工现场环境。对施工作业过程中可能引起的大气、水、噪音以及固体废物污染采取具体可行的防范措施。</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承包人应当承担因其原因引起的环境污染侵权损害赔偿责任，因上述环境污染引起纠纷而导致暂停施工的，由此增加的费用和（或）延误的工期由承包人承担。</w:t>
      </w:r>
    </w:p>
    <w:p>
      <w:pPr>
        <w:keepNext/>
        <w:keepLines/>
        <w:tabs>
          <w:tab w:val="left" w:pos="864"/>
        </w:tabs>
        <w:jc w:val="left"/>
        <w:outlineLvl w:val="3"/>
        <w:rPr>
          <w:rFonts w:ascii="宋体" w:hAnsi="宋体" w:cs="宋体"/>
          <w:kern w:val="0"/>
          <w:szCs w:val="21"/>
        </w:rPr>
      </w:pPr>
      <w:bookmarkStart w:id="235" w:name="_Toc351203542"/>
      <w:r>
        <w:rPr>
          <w:rFonts w:hint="eastAsia" w:ascii="宋体" w:hAnsi="宋体" w:cs="宋体"/>
          <w:kern w:val="0"/>
          <w:szCs w:val="21"/>
        </w:rPr>
        <w:t>7</w:t>
      </w:r>
      <w:bookmarkStart w:id="236" w:name="_Toc337558767"/>
      <w:r>
        <w:rPr>
          <w:rFonts w:hint="eastAsia" w:ascii="宋体" w:hAnsi="宋体" w:cs="宋体"/>
          <w:kern w:val="0"/>
          <w:szCs w:val="21"/>
        </w:rPr>
        <w:t>. 工期和进度</w:t>
      </w:r>
      <w:bookmarkEnd w:id="235"/>
    </w:p>
    <w:bookmarkEnd w:id="236"/>
    <w:p>
      <w:pPr>
        <w:keepNext/>
        <w:keepLines/>
        <w:tabs>
          <w:tab w:val="left" w:pos="1008"/>
        </w:tabs>
        <w:jc w:val="left"/>
        <w:outlineLvl w:val="4"/>
        <w:rPr>
          <w:rFonts w:ascii="宋体" w:hAnsi="宋体" w:cs="宋体"/>
          <w:kern w:val="0"/>
          <w:szCs w:val="21"/>
        </w:rPr>
      </w:pPr>
      <w:bookmarkStart w:id="237" w:name="_Toc351203543"/>
      <w:r>
        <w:rPr>
          <w:rFonts w:hint="eastAsia" w:ascii="宋体" w:hAnsi="宋体" w:cs="宋体"/>
          <w:kern w:val="0"/>
          <w:szCs w:val="21"/>
        </w:rPr>
        <w:t>7</w:t>
      </w:r>
      <w:bookmarkStart w:id="238" w:name="_Toc337558768"/>
      <w:bookmarkStart w:id="239" w:name="_Toc296346567"/>
      <w:bookmarkStart w:id="240" w:name="_Toc296503066"/>
      <w:r>
        <w:rPr>
          <w:rFonts w:hint="eastAsia" w:ascii="宋体" w:hAnsi="宋体" w:cs="宋体"/>
          <w:kern w:val="0"/>
          <w:szCs w:val="21"/>
        </w:rPr>
        <w:t>.1施工组织设计</w:t>
      </w:r>
      <w:bookmarkEnd w:id="237"/>
    </w:p>
    <w:bookmarkEnd w:id="238"/>
    <w:p>
      <w:pPr>
        <w:autoSpaceDE w:val="0"/>
        <w:autoSpaceDN w:val="0"/>
        <w:adjustRightInd w:val="0"/>
        <w:ind w:firstLine="420" w:firstLineChars="200"/>
        <w:jc w:val="left"/>
        <w:rPr>
          <w:rFonts w:ascii="宋体" w:hAnsi="宋体" w:cs="宋体"/>
          <w:kern w:val="0"/>
          <w:szCs w:val="21"/>
        </w:rPr>
      </w:pPr>
      <w:r>
        <w:rPr>
          <w:rFonts w:hint="eastAsia" w:ascii="宋体" w:hAnsi="宋体" w:cs="宋体"/>
          <w:szCs w:val="21"/>
        </w:rPr>
        <w:t>7.1.1</w:t>
      </w:r>
      <w:r>
        <w:rPr>
          <w:rFonts w:hint="eastAsia" w:ascii="宋体" w:hAnsi="宋体" w:cs="宋体"/>
          <w:kern w:val="0"/>
          <w:szCs w:val="21"/>
        </w:rPr>
        <w:t>施工组织设计的内容</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施工组织设计应包含以下内容：</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（1）施工方案；</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（2）施工现场平面布置图；</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（3）施工进度计划和保证措施；</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（4）劳动力及材料供应计划；</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（5）施工机械设备的选用；</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（6）质量保证体系及措施；</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（7）安全生产、文明施工措施；</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（8）环境保护、成本控制措施；</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（9）合同当事人约定的其他内容。</w:t>
      </w:r>
    </w:p>
    <w:p>
      <w:pPr>
        <w:autoSpaceDE w:val="0"/>
        <w:autoSpaceDN w:val="0"/>
        <w:adjustRightInd w:val="0"/>
        <w:ind w:firstLine="420" w:firstLineChars="200"/>
        <w:jc w:val="left"/>
        <w:rPr>
          <w:rFonts w:ascii="宋体" w:hAnsi="宋体" w:cs="宋体"/>
          <w:kern w:val="0"/>
          <w:szCs w:val="21"/>
        </w:rPr>
      </w:pPr>
      <w:r>
        <w:rPr>
          <w:rFonts w:hint="eastAsia" w:ascii="宋体" w:hAnsi="宋体" w:cs="宋体"/>
          <w:szCs w:val="21"/>
        </w:rPr>
        <w:t>7.1.2</w:t>
      </w:r>
      <w:r>
        <w:rPr>
          <w:rFonts w:hint="eastAsia" w:ascii="宋体" w:hAnsi="宋体" w:cs="宋体"/>
          <w:kern w:val="0"/>
          <w:szCs w:val="21"/>
        </w:rPr>
        <w:t>施工组织设计的提交和修改</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专用合同条款另有约定外，承包人应在合同签订后14天内，但至迟不得晚于第7.3.2项〔开工通知〕载明的开工日期前7天，向监理人提交详细的施工组织设计，并由监理人报送发包人。除专用合同条款另有约定外，发包人和监理人应在监理人收到施工组织设计后7天内确认或提出修改意见。对发包人和监理人提出的合理意见和要求，承包人应自费修改完善。根据工程实际情况需要修改施工组织设计的，承包人应向发包人和监理人提交修改后的施工组织设计。</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施工进度计划的编制和修改按照第7.2款〔施工进度计划〕执行。</w:t>
      </w:r>
    </w:p>
    <w:p>
      <w:pPr>
        <w:keepNext w:val="0"/>
        <w:keepLines w:val="0"/>
        <w:pageBreakBefore w:val="0"/>
        <w:widowControl w:val="0"/>
        <w:tabs>
          <w:tab w:val="left" w:pos="1008"/>
        </w:tabs>
        <w:kinsoku/>
        <w:wordWrap/>
        <w:overflowPunct/>
        <w:topLinePunct w:val="0"/>
        <w:bidi w:val="0"/>
        <w:snapToGrid/>
        <w:jc w:val="left"/>
        <w:textAlignment w:val="auto"/>
        <w:outlineLvl w:val="4"/>
        <w:rPr>
          <w:rFonts w:ascii="宋体" w:hAnsi="宋体" w:cs="宋体"/>
          <w:kern w:val="0"/>
          <w:szCs w:val="21"/>
        </w:rPr>
      </w:pPr>
      <w:bookmarkStart w:id="241" w:name="_Toc351203544"/>
      <w:r>
        <w:rPr>
          <w:rFonts w:hint="eastAsia" w:ascii="宋体" w:hAnsi="宋体" w:cs="宋体"/>
          <w:kern w:val="0"/>
          <w:szCs w:val="21"/>
        </w:rPr>
        <w:t>7</w:t>
      </w:r>
      <w:bookmarkStart w:id="242" w:name="_Toc337558769"/>
      <w:r>
        <w:rPr>
          <w:rFonts w:hint="eastAsia" w:ascii="宋体" w:hAnsi="宋体" w:cs="宋体"/>
          <w:kern w:val="0"/>
          <w:szCs w:val="21"/>
        </w:rPr>
        <w:t>.2 施工进度计划</w:t>
      </w:r>
      <w:bookmarkEnd w:id="241"/>
    </w:p>
    <w:bookmarkEnd w:id="242"/>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7.2.1 施工进度计划的编制</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承包人应按照第7.1款〔施工组织设计〕约定提交详细的施工进度计划，施工进度计划的编制应当符合国家法律规定和一般工程实践惯例，施工进度计划经发包人批准后实施。施工进度计划是控制工程进度的依据，发包人和监理人有权按照施工进度计划检查工程进度情况。</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szCs w:val="21"/>
        </w:rPr>
        <w:t>7.2.2 施工进度计划的修订</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施工进度计划不符合合同要求或与工程的实际进度不一致的，承包人应向监理人提交修订的施工进度计划，并附具有关措施和相关资料，由监理人报送发包人。除专用合同条款另有约定外，发包人和监理人应在收到修订的施工进度计划后7天内完成审核和批准或提出修改意见。发包人和监理人对承包人提交的施工进度计划的确认，不能减轻或免除承包人根据法律规定和合同约定应承担的任何责任或义务。</w:t>
      </w:r>
    </w:p>
    <w:p>
      <w:pPr>
        <w:keepNext w:val="0"/>
        <w:keepLines w:val="0"/>
        <w:pageBreakBefore w:val="0"/>
        <w:widowControl w:val="0"/>
        <w:tabs>
          <w:tab w:val="left" w:pos="1008"/>
        </w:tabs>
        <w:kinsoku/>
        <w:wordWrap/>
        <w:overflowPunct/>
        <w:topLinePunct w:val="0"/>
        <w:bidi w:val="0"/>
        <w:snapToGrid/>
        <w:jc w:val="left"/>
        <w:textAlignment w:val="auto"/>
        <w:outlineLvl w:val="4"/>
        <w:rPr>
          <w:rFonts w:ascii="宋体" w:hAnsi="宋体" w:cs="宋体"/>
          <w:kern w:val="0"/>
          <w:szCs w:val="21"/>
        </w:rPr>
      </w:pPr>
      <w:bookmarkStart w:id="243" w:name="_Toc351203545"/>
      <w:r>
        <w:rPr>
          <w:rFonts w:hint="eastAsia" w:ascii="宋体" w:hAnsi="宋体" w:cs="宋体"/>
          <w:kern w:val="0"/>
          <w:szCs w:val="21"/>
        </w:rPr>
        <w:t>7</w:t>
      </w:r>
      <w:bookmarkStart w:id="244" w:name="_Toc337558770"/>
      <w:r>
        <w:rPr>
          <w:rFonts w:hint="eastAsia" w:ascii="宋体" w:hAnsi="宋体" w:cs="宋体"/>
          <w:kern w:val="0"/>
          <w:szCs w:val="21"/>
        </w:rPr>
        <w:t>.3 开工</w:t>
      </w:r>
      <w:bookmarkEnd w:id="243"/>
    </w:p>
    <w:p>
      <w:pPr>
        <w:keepNext w:val="0"/>
        <w:keepLines w:val="0"/>
        <w:pageBreakBefore w:val="0"/>
        <w:widowControl w:val="0"/>
        <w:kinsoku/>
        <w:wordWrap/>
        <w:overflowPunct/>
        <w:topLinePunct w:val="0"/>
        <w:bidi w:val="0"/>
        <w:snapToGrid/>
        <w:ind w:firstLine="420" w:firstLineChars="200"/>
        <w:textAlignment w:val="auto"/>
        <w:rPr>
          <w:rFonts w:ascii="宋体" w:hAnsi="宋体" w:cs="宋体"/>
          <w:szCs w:val="21"/>
        </w:rPr>
      </w:pPr>
      <w:r>
        <w:rPr>
          <w:rFonts w:hint="eastAsia" w:ascii="宋体" w:hAnsi="宋体" w:cs="宋体"/>
          <w:kern w:val="0"/>
          <w:szCs w:val="21"/>
        </w:rPr>
        <w:t>7.3.1 开工准备</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除专用合同条款另有约定外，承包人应按照第7.1款〔施工组织设计〕约定的期限，向监理人提交工程开工报审表，经监理人报发包人批准后执行。开工报审表应详细说明按施工进度计划正常施工所需的施工道路、临时设施、材料、工程设备、施工设备、施工人员等落实情况以及工程的进度安排。</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除专用合同条款另有约定外，合同当事人应按约定完成开工准备工作。</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7.3.2 开工通知</w:t>
      </w:r>
    </w:p>
    <w:bookmarkEnd w:id="244"/>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发包人应按照法律规定获得工程施工所需的许可。经发包人同意后，监理人发出的开工通知应符合法律规定。监理人应在计划开工日期7天前向承包人发出开工通知，工期自开工通知中载明的开工日期起算。</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除专用合同条款另有约定外，因发包人原因造成监理人未能在计划开工日期之日起90天内发出开工通知的，承包人有权提出价格调整要求，或者解除合同。发包人应当承担由此增加的费用和（或）延误的工期，并向承包人支付合理利润。</w:t>
      </w:r>
    </w:p>
    <w:p>
      <w:pPr>
        <w:keepNext w:val="0"/>
        <w:keepLines w:val="0"/>
        <w:pageBreakBefore w:val="0"/>
        <w:widowControl w:val="0"/>
        <w:tabs>
          <w:tab w:val="left" w:pos="1008"/>
        </w:tabs>
        <w:kinsoku/>
        <w:wordWrap/>
        <w:overflowPunct/>
        <w:topLinePunct w:val="0"/>
        <w:bidi w:val="0"/>
        <w:snapToGrid/>
        <w:jc w:val="left"/>
        <w:textAlignment w:val="auto"/>
        <w:outlineLvl w:val="4"/>
        <w:rPr>
          <w:rFonts w:ascii="宋体" w:hAnsi="宋体" w:cs="宋体"/>
          <w:kern w:val="0"/>
          <w:szCs w:val="21"/>
        </w:rPr>
      </w:pPr>
      <w:bookmarkStart w:id="245" w:name="_Toc351203546"/>
      <w:r>
        <w:rPr>
          <w:rFonts w:hint="eastAsia" w:ascii="宋体" w:hAnsi="宋体" w:cs="宋体"/>
          <w:kern w:val="0"/>
          <w:szCs w:val="21"/>
        </w:rPr>
        <w:t>7.4测量放线</w:t>
      </w:r>
      <w:bookmarkEnd w:id="245"/>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7.4.1 除专用合同条款另有约定外，发包人应在至迟不得晚于第7.3.2项〔开工通知〕载明的开工日期前7天通过监理人向承包人提供测量基准点、基准线和水准点及其书面资料。发包人应对其提供的测量基准点、基准线和水准点及其书面资料的真实性、准确性和完整性负责。</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发现发包人提供的测量基准点、基准线和水准点及其书面资料存在错误或疏漏的，应及时通知监理人。监理人应及时报告发包人，并会同发包人和承包人予以核实。发包人应就如何处理和是否继续施工作出决定，并通知监理人和承包人。</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7.4.2 承包人负责施工过程中的全部施工测量放线工作，并配置具有相应资质的人员、合格的仪器、设备和其他物品。承包人应矫正工程的位置、标高、尺寸或准线中出现的任何差错，并对工程各部分的定位负责。</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施工过程中对施工现场内水准点等测量标志物的保护工作由承包人负责。</w:t>
      </w:r>
      <w:bookmarkStart w:id="246" w:name="_Toc351203547"/>
    </w:p>
    <w:p>
      <w:pPr>
        <w:keepNext/>
        <w:keepLines/>
        <w:tabs>
          <w:tab w:val="left" w:pos="1008"/>
        </w:tabs>
        <w:jc w:val="left"/>
        <w:outlineLvl w:val="4"/>
        <w:rPr>
          <w:rFonts w:ascii="宋体" w:hAnsi="宋体" w:cs="宋体"/>
          <w:kern w:val="0"/>
          <w:szCs w:val="21"/>
        </w:rPr>
      </w:pPr>
      <w:r>
        <w:rPr>
          <w:rFonts w:hint="eastAsia" w:ascii="宋体" w:hAnsi="宋体" w:cs="宋体"/>
          <w:kern w:val="0"/>
          <w:szCs w:val="21"/>
        </w:rPr>
        <w:t>7</w:t>
      </w:r>
      <w:bookmarkEnd w:id="239"/>
      <w:bookmarkEnd w:id="240"/>
      <w:bookmarkStart w:id="247" w:name="_Toc296503073"/>
      <w:bookmarkStart w:id="248" w:name="_Toc337558772"/>
      <w:bookmarkStart w:id="249" w:name="_Toc296346574"/>
      <w:r>
        <w:rPr>
          <w:rFonts w:hint="eastAsia" w:ascii="宋体" w:hAnsi="宋体" w:cs="宋体"/>
          <w:kern w:val="0"/>
          <w:szCs w:val="21"/>
        </w:rPr>
        <w:t>.5工期延误</w:t>
      </w:r>
      <w:bookmarkEnd w:id="246"/>
    </w:p>
    <w:bookmarkEnd w:id="247"/>
    <w:bookmarkEnd w:id="248"/>
    <w:bookmarkEnd w:id="249"/>
    <w:p>
      <w:pPr>
        <w:ind w:firstLine="420" w:firstLineChars="200"/>
        <w:jc w:val="left"/>
        <w:rPr>
          <w:rFonts w:ascii="宋体" w:hAnsi="宋体" w:cs="宋体"/>
          <w:kern w:val="0"/>
          <w:szCs w:val="21"/>
        </w:rPr>
      </w:pPr>
      <w:r>
        <w:rPr>
          <w:rFonts w:hint="eastAsia" w:ascii="宋体" w:hAnsi="宋体" w:cs="宋体"/>
          <w:kern w:val="0"/>
          <w:szCs w:val="21"/>
        </w:rPr>
        <w:t>7.5.1 因发包人原因导致工期延误</w:t>
      </w:r>
    </w:p>
    <w:p>
      <w:pPr>
        <w:ind w:firstLine="420" w:firstLineChars="200"/>
        <w:jc w:val="left"/>
        <w:rPr>
          <w:rFonts w:ascii="宋体" w:hAnsi="宋体" w:cs="宋体"/>
          <w:kern w:val="0"/>
          <w:szCs w:val="21"/>
        </w:rPr>
      </w:pPr>
      <w:r>
        <w:rPr>
          <w:rFonts w:hint="eastAsia" w:ascii="宋体" w:hAnsi="宋体" w:cs="宋体"/>
          <w:kern w:val="0"/>
          <w:szCs w:val="21"/>
        </w:rPr>
        <w:t>在合同履行过程中，因下列情况导致工期延误和（或）费用增加的，由发包人承担由此延误的工期和（或）增加的费用，且发包人应支付承包人合理的利润：</w:t>
      </w:r>
    </w:p>
    <w:p>
      <w:pPr>
        <w:ind w:firstLine="420" w:firstLineChars="200"/>
        <w:jc w:val="left"/>
        <w:rPr>
          <w:rFonts w:ascii="宋体" w:hAnsi="宋体" w:cs="宋体"/>
          <w:kern w:val="0"/>
          <w:szCs w:val="21"/>
        </w:rPr>
      </w:pPr>
      <w:r>
        <w:rPr>
          <w:rFonts w:hint="eastAsia" w:ascii="宋体" w:hAnsi="宋体" w:cs="宋体"/>
          <w:kern w:val="0"/>
          <w:szCs w:val="21"/>
        </w:rPr>
        <w:t>（1）发包人未能按合同约定提供图纸或所提供图纸不符合合同约定的；</w:t>
      </w:r>
    </w:p>
    <w:p>
      <w:pPr>
        <w:ind w:firstLine="420" w:firstLineChars="200"/>
        <w:jc w:val="left"/>
        <w:rPr>
          <w:rFonts w:ascii="宋体" w:hAnsi="宋体" w:cs="宋体"/>
          <w:kern w:val="0"/>
          <w:szCs w:val="21"/>
        </w:rPr>
      </w:pPr>
      <w:r>
        <w:rPr>
          <w:rFonts w:hint="eastAsia" w:ascii="宋体" w:hAnsi="宋体" w:cs="宋体"/>
          <w:kern w:val="0"/>
          <w:szCs w:val="21"/>
        </w:rPr>
        <w:t>（2）发包人未能按合同约定提供施工现场、施工条件、基础资料、许可、批准等开工条件的；</w:t>
      </w:r>
    </w:p>
    <w:p>
      <w:pPr>
        <w:ind w:firstLine="420" w:firstLineChars="200"/>
        <w:jc w:val="left"/>
        <w:rPr>
          <w:rFonts w:ascii="宋体" w:hAnsi="宋体" w:cs="宋体"/>
          <w:kern w:val="0"/>
          <w:szCs w:val="21"/>
        </w:rPr>
      </w:pPr>
      <w:r>
        <w:rPr>
          <w:rFonts w:hint="eastAsia" w:ascii="宋体" w:hAnsi="宋体" w:cs="宋体"/>
          <w:kern w:val="0"/>
          <w:szCs w:val="21"/>
        </w:rPr>
        <w:t>（3）发包人提供的测量基准点、基准线和水准点及其书面资料存在错误或疏漏的；</w:t>
      </w:r>
    </w:p>
    <w:p>
      <w:pPr>
        <w:ind w:firstLine="420" w:firstLineChars="200"/>
        <w:jc w:val="left"/>
        <w:rPr>
          <w:rFonts w:ascii="宋体" w:hAnsi="宋体" w:cs="宋体"/>
          <w:kern w:val="0"/>
          <w:szCs w:val="21"/>
        </w:rPr>
      </w:pPr>
      <w:r>
        <w:rPr>
          <w:rFonts w:hint="eastAsia" w:ascii="宋体" w:hAnsi="宋体" w:cs="宋体"/>
          <w:kern w:val="0"/>
          <w:szCs w:val="21"/>
        </w:rPr>
        <w:t>（4）发包人未能在计划开工日期之日起7天内同意下达开工通知的；</w:t>
      </w:r>
    </w:p>
    <w:p>
      <w:pPr>
        <w:ind w:firstLine="420" w:firstLineChars="200"/>
        <w:jc w:val="left"/>
        <w:rPr>
          <w:rFonts w:ascii="宋体" w:hAnsi="宋体" w:cs="宋体"/>
          <w:kern w:val="0"/>
          <w:szCs w:val="21"/>
        </w:rPr>
      </w:pPr>
      <w:r>
        <w:rPr>
          <w:rFonts w:hint="eastAsia" w:ascii="宋体" w:hAnsi="宋体" w:cs="宋体"/>
          <w:kern w:val="0"/>
          <w:szCs w:val="21"/>
        </w:rPr>
        <w:t>（5）发包人未能按合同约定日期支付工程预付款、进度款或竣工结算款的；</w:t>
      </w:r>
    </w:p>
    <w:p>
      <w:pPr>
        <w:ind w:firstLine="420" w:firstLineChars="200"/>
        <w:jc w:val="left"/>
        <w:rPr>
          <w:rFonts w:ascii="宋体" w:hAnsi="宋体" w:cs="宋体"/>
          <w:kern w:val="0"/>
          <w:szCs w:val="21"/>
        </w:rPr>
      </w:pPr>
      <w:r>
        <w:rPr>
          <w:rFonts w:hint="eastAsia" w:ascii="宋体" w:hAnsi="宋体" w:cs="宋体"/>
          <w:kern w:val="0"/>
          <w:szCs w:val="21"/>
        </w:rPr>
        <w:t>（6）监理人未按合同约定发出指示、批准等文件的；</w:t>
      </w:r>
    </w:p>
    <w:p>
      <w:pPr>
        <w:ind w:firstLine="420" w:firstLineChars="200"/>
        <w:jc w:val="left"/>
        <w:rPr>
          <w:rFonts w:ascii="宋体" w:hAnsi="宋体" w:cs="宋体"/>
          <w:kern w:val="0"/>
          <w:szCs w:val="21"/>
        </w:rPr>
      </w:pPr>
      <w:r>
        <w:rPr>
          <w:rFonts w:hint="eastAsia" w:ascii="宋体" w:hAnsi="宋体" w:cs="宋体"/>
          <w:kern w:val="0"/>
          <w:szCs w:val="21"/>
        </w:rPr>
        <w:t>（7）专用合同条款中约定的其他情形。</w:t>
      </w:r>
    </w:p>
    <w:p>
      <w:pPr>
        <w:ind w:firstLine="420" w:firstLineChars="200"/>
        <w:jc w:val="left"/>
        <w:rPr>
          <w:rFonts w:ascii="宋体" w:hAnsi="宋体" w:cs="宋体"/>
          <w:kern w:val="0"/>
          <w:szCs w:val="21"/>
        </w:rPr>
      </w:pPr>
      <w:r>
        <w:rPr>
          <w:rFonts w:hint="eastAsia" w:ascii="宋体" w:hAnsi="宋体" w:cs="宋体"/>
          <w:kern w:val="0"/>
          <w:szCs w:val="21"/>
        </w:rPr>
        <w:t>因发包人原因未按计划开工日期开工的，发包人应按实际开工日期顺延竣工日期，确保实际工期不低于合同约定的工期总日历天数。因发包人原因导致工期延误需要修订施工进度计划的，按照第7.2.2项〔施工进度计划的修订〕执行。</w:t>
      </w:r>
    </w:p>
    <w:p>
      <w:pPr>
        <w:widowControl w:val="0"/>
        <w:autoSpaceDE w:val="0"/>
        <w:autoSpaceDN w:val="0"/>
        <w:adjustRightInd w:val="0"/>
        <w:ind w:firstLine="420" w:firstLineChars="200"/>
        <w:jc w:val="left"/>
        <w:rPr>
          <w:rFonts w:ascii="宋体" w:hAnsi="宋体" w:cs="宋体"/>
          <w:szCs w:val="21"/>
        </w:rPr>
      </w:pPr>
      <w:r>
        <w:rPr>
          <w:rFonts w:hint="eastAsia" w:ascii="宋体" w:hAnsi="宋体" w:cs="宋体"/>
          <w:kern w:val="0"/>
          <w:szCs w:val="21"/>
        </w:rPr>
        <w:t>7.5.2 因承包人原因导致工期延误</w:t>
      </w:r>
    </w:p>
    <w:p>
      <w:pPr>
        <w:widowControl w:val="0"/>
        <w:autoSpaceDE w:val="0"/>
        <w:autoSpaceDN w:val="0"/>
        <w:adjustRightInd w:val="0"/>
        <w:ind w:firstLine="420" w:firstLineChars="200"/>
        <w:jc w:val="left"/>
        <w:rPr>
          <w:rFonts w:ascii="宋体" w:hAnsi="宋体" w:cs="宋体"/>
          <w:kern w:val="0"/>
          <w:szCs w:val="21"/>
        </w:rPr>
      </w:pPr>
      <w:bookmarkStart w:id="250" w:name="_Toc296346577"/>
      <w:bookmarkStart w:id="251" w:name="_Toc296503076"/>
      <w:r>
        <w:rPr>
          <w:rFonts w:hint="eastAsia" w:ascii="宋体" w:hAnsi="宋体" w:cs="宋体"/>
          <w:kern w:val="0"/>
          <w:szCs w:val="21"/>
        </w:rPr>
        <w:t>因</w:t>
      </w:r>
      <w:bookmarkEnd w:id="250"/>
      <w:bookmarkEnd w:id="251"/>
      <w:r>
        <w:rPr>
          <w:rFonts w:hint="eastAsia" w:ascii="宋体" w:hAnsi="宋体" w:cs="宋体"/>
          <w:kern w:val="0"/>
          <w:szCs w:val="21"/>
        </w:rPr>
        <w:t>承包人原因造成工期延误的，可以在专用合同条款中约定逾期竣工违约金的计算方法和逾期竣工违约金的上限。承包人支付逾期竣工违约金后，不免除承包人继续完成工程及修补缺陷的义务。</w:t>
      </w:r>
    </w:p>
    <w:p>
      <w:pPr>
        <w:keepNext/>
        <w:keepLines/>
        <w:widowControl w:val="0"/>
        <w:tabs>
          <w:tab w:val="left" w:pos="1008"/>
        </w:tabs>
        <w:jc w:val="left"/>
        <w:outlineLvl w:val="4"/>
        <w:rPr>
          <w:rFonts w:ascii="宋体" w:hAnsi="宋体" w:cs="宋体"/>
          <w:kern w:val="0"/>
          <w:szCs w:val="21"/>
        </w:rPr>
      </w:pPr>
      <w:bookmarkStart w:id="252" w:name="_Toc351203548"/>
      <w:r>
        <w:rPr>
          <w:rFonts w:hint="eastAsia" w:ascii="宋体" w:hAnsi="宋体" w:cs="宋体"/>
          <w:kern w:val="0"/>
          <w:szCs w:val="21"/>
        </w:rPr>
        <w:t>7</w:t>
      </w:r>
      <w:bookmarkStart w:id="253" w:name="_Toc337558773"/>
      <w:bookmarkStart w:id="254" w:name="_Toc296346575"/>
      <w:bookmarkStart w:id="255" w:name="_Toc296503074"/>
      <w:bookmarkStart w:id="256" w:name="_Toc296503077"/>
      <w:bookmarkStart w:id="257" w:name="_Toc296346578"/>
      <w:r>
        <w:rPr>
          <w:rFonts w:hint="eastAsia" w:ascii="宋体" w:hAnsi="宋体" w:cs="宋体"/>
          <w:kern w:val="0"/>
          <w:szCs w:val="21"/>
        </w:rPr>
        <w:t>.6 不利物质条件</w:t>
      </w:r>
      <w:bookmarkEnd w:id="252"/>
    </w:p>
    <w:bookmarkEnd w:id="253"/>
    <w:bookmarkEnd w:id="254"/>
    <w:bookmarkEnd w:id="255"/>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不利物质条件是指有经验的承包人在施工现场遇到的不可预见的自然物质条件、非自然的物质障碍和污染物，包括地表以下物质条件和水文条件以及专用合同条款约定的其他情形，但不包括气候条件。</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遇到不利物质条件时，应采取克服不利物质条件的合理措施继续施工，并及时通知发包人和监理人。通知应载明不利物质条件的内容以及承包人认为不可预见的理由。监理人经发包人同意后应当及时发出指示，指示构成变更的，按第10条〔变更〕约定执行。承包人因采取合理措施而增加的费用和（或）延误的工期由发包人承担。</w:t>
      </w:r>
    </w:p>
    <w:p>
      <w:pPr>
        <w:keepNext/>
        <w:keepLines/>
        <w:widowControl w:val="0"/>
        <w:tabs>
          <w:tab w:val="left" w:pos="1008"/>
        </w:tabs>
        <w:jc w:val="left"/>
        <w:outlineLvl w:val="4"/>
        <w:rPr>
          <w:rFonts w:ascii="宋体" w:hAnsi="宋体" w:cs="宋体"/>
          <w:kern w:val="0"/>
          <w:szCs w:val="21"/>
        </w:rPr>
      </w:pPr>
      <w:bookmarkStart w:id="258" w:name="_Toc351203549"/>
      <w:r>
        <w:rPr>
          <w:rFonts w:hint="eastAsia" w:ascii="宋体" w:hAnsi="宋体" w:cs="宋体"/>
          <w:kern w:val="0"/>
          <w:szCs w:val="21"/>
        </w:rPr>
        <w:t>7</w:t>
      </w:r>
      <w:bookmarkStart w:id="259" w:name="_Toc296346576"/>
      <w:bookmarkStart w:id="260" w:name="_Toc337558774"/>
      <w:bookmarkStart w:id="261" w:name="_Toc296503075"/>
      <w:r>
        <w:rPr>
          <w:rFonts w:hint="eastAsia" w:ascii="宋体" w:hAnsi="宋体" w:cs="宋体"/>
          <w:kern w:val="0"/>
          <w:szCs w:val="21"/>
        </w:rPr>
        <w:t>.7异常恶劣的气候条件</w:t>
      </w:r>
      <w:bookmarkEnd w:id="258"/>
    </w:p>
    <w:bookmarkEnd w:id="259"/>
    <w:bookmarkEnd w:id="260"/>
    <w:bookmarkEnd w:id="261"/>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异常恶劣的气候条件是指在施工过程中遇到的，有经验的承包人在签订合同时不可预见的，对合同履行造成实质性影响的，但尚未构成不可抗力事件的恶劣气候条件。合同当事人可以在专用合同条款中约定异常恶劣的气候条件的具体情形。</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应采取克服异常恶劣的气候条件的合理措施继续施工，并及时通知发包人和监理人。监理人经发包人同意后应当及时发出指示，指示构成变更的，按第10条〔变更〕约定办理。承包人因采取合理措施而增加的费用和（或）延误的工期由发包人承担。</w:t>
      </w:r>
      <w:bookmarkStart w:id="262" w:name="_Toc351203550"/>
    </w:p>
    <w:p>
      <w:pPr>
        <w:keepNext/>
        <w:keepLines/>
        <w:widowControl w:val="0"/>
        <w:tabs>
          <w:tab w:val="left" w:pos="1008"/>
        </w:tabs>
        <w:ind w:left="798" w:hanging="798" w:hangingChars="380"/>
        <w:jc w:val="left"/>
        <w:outlineLvl w:val="4"/>
        <w:rPr>
          <w:rFonts w:ascii="宋体" w:hAnsi="宋体" w:cs="宋体"/>
          <w:bCs/>
          <w:kern w:val="0"/>
          <w:szCs w:val="21"/>
        </w:rPr>
      </w:pPr>
      <w:r>
        <w:rPr>
          <w:rFonts w:hint="eastAsia" w:ascii="宋体" w:hAnsi="宋体" w:cs="宋体"/>
          <w:bCs/>
          <w:kern w:val="0"/>
          <w:szCs w:val="21"/>
        </w:rPr>
        <w:t>7</w:t>
      </w:r>
      <w:bookmarkStart w:id="263" w:name="_Toc337558775"/>
      <w:r>
        <w:rPr>
          <w:rFonts w:hint="eastAsia" w:ascii="宋体" w:hAnsi="宋体" w:cs="宋体"/>
          <w:bCs/>
          <w:kern w:val="0"/>
          <w:szCs w:val="21"/>
        </w:rPr>
        <w:t>.8暂停施工</w:t>
      </w:r>
      <w:bookmarkEnd w:id="262"/>
    </w:p>
    <w:bookmarkEnd w:id="256"/>
    <w:bookmarkEnd w:id="257"/>
    <w:bookmarkEnd w:id="263"/>
    <w:p>
      <w:pPr>
        <w:widowControl w:val="0"/>
        <w:ind w:firstLine="420" w:firstLineChars="200"/>
        <w:jc w:val="left"/>
        <w:rPr>
          <w:rFonts w:ascii="宋体" w:hAnsi="宋体" w:cs="宋体"/>
          <w:kern w:val="0"/>
          <w:szCs w:val="21"/>
        </w:rPr>
      </w:pPr>
      <w:r>
        <w:rPr>
          <w:rFonts w:hint="eastAsia" w:ascii="宋体" w:hAnsi="宋体" w:cs="宋体"/>
          <w:kern w:val="0"/>
          <w:szCs w:val="21"/>
        </w:rPr>
        <w:t>7.8.1发包人原因引起的暂停施工</w:t>
      </w:r>
    </w:p>
    <w:p>
      <w:pPr>
        <w:widowControl w:val="0"/>
        <w:ind w:firstLine="420" w:firstLineChars="200"/>
        <w:jc w:val="left"/>
        <w:rPr>
          <w:rFonts w:ascii="宋体" w:hAnsi="宋体" w:cs="宋体"/>
          <w:kern w:val="0"/>
          <w:szCs w:val="21"/>
        </w:rPr>
      </w:pPr>
      <w:r>
        <w:rPr>
          <w:rFonts w:hint="eastAsia" w:ascii="宋体" w:hAnsi="宋体" w:cs="宋体"/>
          <w:kern w:val="0"/>
          <w:szCs w:val="21"/>
        </w:rPr>
        <w:t>因发包人原因引起暂停施工的，监理人经发包人同意后，应及时下达暂停施工指示。情况紧急且监理人未及时下达暂停施工指示的，按照第7.8.4项〔紧急情况下的暂停施工〕执行。</w:t>
      </w:r>
    </w:p>
    <w:p>
      <w:pPr>
        <w:widowControl w:val="0"/>
        <w:ind w:firstLine="420" w:firstLineChars="200"/>
        <w:jc w:val="left"/>
        <w:rPr>
          <w:rFonts w:ascii="宋体" w:hAnsi="宋体" w:cs="宋体"/>
          <w:kern w:val="0"/>
          <w:szCs w:val="21"/>
        </w:rPr>
      </w:pPr>
      <w:r>
        <w:rPr>
          <w:rFonts w:hint="eastAsia" w:ascii="宋体" w:hAnsi="宋体" w:cs="宋体"/>
          <w:kern w:val="0"/>
          <w:szCs w:val="21"/>
        </w:rPr>
        <w:t>因发包人原因引起的暂停施工，发包人应承担由此增加的费用和（或）延误的工期，并支付承包人合理的利润。</w:t>
      </w:r>
    </w:p>
    <w:p>
      <w:pPr>
        <w:widowControl w:val="0"/>
        <w:ind w:firstLine="420" w:firstLineChars="200"/>
        <w:jc w:val="left"/>
        <w:rPr>
          <w:rFonts w:ascii="宋体" w:hAnsi="宋体" w:cs="宋体"/>
          <w:kern w:val="0"/>
          <w:szCs w:val="21"/>
        </w:rPr>
      </w:pPr>
      <w:r>
        <w:rPr>
          <w:rFonts w:hint="eastAsia" w:ascii="宋体" w:hAnsi="宋体" w:cs="宋体"/>
          <w:kern w:val="0"/>
          <w:szCs w:val="21"/>
        </w:rPr>
        <w:t>7.8.2 承包人原因引起的暂停施工</w:t>
      </w:r>
    </w:p>
    <w:p>
      <w:pPr>
        <w:widowControl w:val="0"/>
        <w:ind w:firstLine="420" w:firstLineChars="200"/>
        <w:jc w:val="left"/>
        <w:rPr>
          <w:rFonts w:ascii="宋体" w:hAnsi="宋体" w:cs="宋体"/>
          <w:kern w:val="0"/>
          <w:szCs w:val="21"/>
        </w:rPr>
      </w:pPr>
      <w:r>
        <w:rPr>
          <w:rFonts w:hint="eastAsia" w:ascii="宋体" w:hAnsi="宋体" w:cs="宋体"/>
          <w:kern w:val="0"/>
          <w:szCs w:val="21"/>
        </w:rPr>
        <w:t>因承包人原因引起的暂停施工，承包人应承担由此增加的费用和（或）延误的工期，且承包人在收到监理人复工指示后84天内仍未复工的，视为第16.2.1项〔承包人违约的情形〕第（7）目约定的承包人无法继续履行合同的情形。</w:t>
      </w:r>
    </w:p>
    <w:p>
      <w:pPr>
        <w:widowControl w:val="0"/>
        <w:ind w:firstLine="420" w:firstLineChars="200"/>
        <w:jc w:val="left"/>
        <w:rPr>
          <w:rFonts w:ascii="宋体" w:hAnsi="宋体" w:cs="宋体"/>
          <w:kern w:val="0"/>
          <w:szCs w:val="21"/>
        </w:rPr>
      </w:pPr>
      <w:r>
        <w:rPr>
          <w:rFonts w:hint="eastAsia" w:ascii="宋体" w:hAnsi="宋体" w:cs="宋体"/>
          <w:kern w:val="0"/>
          <w:szCs w:val="21"/>
        </w:rPr>
        <w:t>7.8.3 指示暂停施工</w:t>
      </w:r>
    </w:p>
    <w:p>
      <w:pPr>
        <w:widowControl w:val="0"/>
        <w:ind w:firstLine="420" w:firstLineChars="200"/>
        <w:jc w:val="left"/>
        <w:rPr>
          <w:rFonts w:ascii="宋体" w:hAnsi="宋体" w:cs="宋体"/>
          <w:kern w:val="0"/>
          <w:szCs w:val="21"/>
        </w:rPr>
      </w:pPr>
      <w:r>
        <w:rPr>
          <w:rFonts w:hint="eastAsia" w:ascii="宋体" w:hAnsi="宋体" w:cs="宋体"/>
          <w:kern w:val="0"/>
          <w:szCs w:val="21"/>
        </w:rPr>
        <w:t>监理人认为有必要时，并经发包人批准后，可向承包人作出暂停施工的指示，承包人应按监理人指示暂停施工。</w:t>
      </w:r>
    </w:p>
    <w:p>
      <w:pPr>
        <w:ind w:firstLine="420" w:firstLineChars="200"/>
        <w:jc w:val="left"/>
        <w:rPr>
          <w:rFonts w:ascii="宋体" w:hAnsi="宋体" w:cs="宋体"/>
          <w:kern w:val="0"/>
          <w:szCs w:val="21"/>
        </w:rPr>
      </w:pPr>
      <w:r>
        <w:rPr>
          <w:rFonts w:hint="eastAsia" w:ascii="宋体" w:hAnsi="宋体" w:cs="宋体"/>
          <w:kern w:val="0"/>
          <w:szCs w:val="21"/>
        </w:rPr>
        <w:t>7.8.4 紧急情况下的暂停施工</w:t>
      </w:r>
    </w:p>
    <w:p>
      <w:pPr>
        <w:ind w:firstLine="420" w:firstLineChars="200"/>
        <w:jc w:val="left"/>
        <w:rPr>
          <w:rFonts w:ascii="宋体" w:hAnsi="宋体" w:cs="宋体"/>
          <w:kern w:val="0"/>
          <w:szCs w:val="21"/>
        </w:rPr>
      </w:pPr>
      <w:r>
        <w:rPr>
          <w:rFonts w:hint="eastAsia" w:ascii="宋体" w:hAnsi="宋体" w:cs="宋体"/>
          <w:kern w:val="0"/>
          <w:szCs w:val="21"/>
        </w:rPr>
        <w:t>因紧急情况需暂停施工，且监理人未及时下达暂停施工指示的，承包人可先暂停施工，并及时通知监理人。监理人应在接到通知后24小时内发出指示，逾期未发出指示，视为同意承包人暂停施工。监理人不同意承包人暂停施工的，应说明理由，承包人对监理人的答复有异议，按照第20条〔争议解决〕约定处理。</w:t>
      </w:r>
    </w:p>
    <w:p>
      <w:pPr>
        <w:ind w:firstLine="420" w:firstLineChars="200"/>
        <w:jc w:val="left"/>
        <w:rPr>
          <w:rFonts w:ascii="宋体" w:hAnsi="宋体" w:cs="宋体"/>
          <w:kern w:val="0"/>
          <w:szCs w:val="21"/>
        </w:rPr>
      </w:pPr>
      <w:r>
        <w:rPr>
          <w:rFonts w:hint="eastAsia" w:ascii="宋体" w:hAnsi="宋体" w:cs="宋体"/>
          <w:kern w:val="0"/>
          <w:szCs w:val="21"/>
        </w:rPr>
        <w:t>7.8.5 暂停施工后的复工</w:t>
      </w:r>
    </w:p>
    <w:p>
      <w:pPr>
        <w:ind w:firstLine="420" w:firstLineChars="200"/>
        <w:jc w:val="left"/>
        <w:rPr>
          <w:rFonts w:ascii="宋体" w:hAnsi="宋体" w:cs="宋体"/>
          <w:kern w:val="0"/>
          <w:szCs w:val="21"/>
        </w:rPr>
      </w:pPr>
      <w:r>
        <w:rPr>
          <w:rFonts w:hint="eastAsia" w:ascii="宋体" w:hAnsi="宋体" w:cs="宋体"/>
          <w:kern w:val="0"/>
          <w:szCs w:val="21"/>
        </w:rPr>
        <w:t>暂停施工后，发包人和承包人应采取有效措施积极消除暂停施工的影响。在工程复工前，监理人会同发包人和承包人确定因暂停施工造成的损失，并确定工程复工条件。当工程具备复工条件时，监理人应经发包人批准后向承包人发出复工通知，承包人应按照复工通知要求复工。</w:t>
      </w:r>
    </w:p>
    <w:p>
      <w:pPr>
        <w:ind w:firstLine="420" w:firstLineChars="200"/>
        <w:jc w:val="left"/>
        <w:rPr>
          <w:rFonts w:ascii="宋体" w:hAnsi="宋体" w:cs="宋体"/>
          <w:kern w:val="0"/>
          <w:szCs w:val="21"/>
        </w:rPr>
      </w:pPr>
      <w:r>
        <w:rPr>
          <w:rFonts w:hint="eastAsia" w:ascii="宋体" w:hAnsi="宋体" w:cs="宋体"/>
          <w:kern w:val="0"/>
          <w:szCs w:val="21"/>
        </w:rPr>
        <w:t>承包人无故拖延和拒绝复工的，承包人承担由此增加的费用和（或）延误的工期；因发包人原因无法按时复工的，按照第7.5.1项〔因发包人原因导致工期延误〕约定办理。</w:t>
      </w:r>
    </w:p>
    <w:p>
      <w:pPr>
        <w:ind w:firstLine="420" w:firstLineChars="200"/>
        <w:jc w:val="left"/>
        <w:rPr>
          <w:rFonts w:ascii="宋体" w:hAnsi="宋体" w:cs="宋体"/>
          <w:kern w:val="0"/>
          <w:szCs w:val="21"/>
        </w:rPr>
      </w:pPr>
      <w:r>
        <w:rPr>
          <w:rFonts w:hint="eastAsia" w:ascii="宋体" w:hAnsi="宋体" w:cs="宋体"/>
          <w:kern w:val="0"/>
          <w:szCs w:val="21"/>
        </w:rPr>
        <w:t>7.8.6 暂停施工持续56天以上</w:t>
      </w:r>
    </w:p>
    <w:p>
      <w:pPr>
        <w:ind w:firstLine="409" w:firstLineChars="195"/>
        <w:jc w:val="left"/>
        <w:rPr>
          <w:rFonts w:ascii="宋体" w:hAnsi="宋体" w:cs="宋体"/>
          <w:kern w:val="0"/>
          <w:szCs w:val="21"/>
        </w:rPr>
      </w:pPr>
      <w:r>
        <w:rPr>
          <w:rFonts w:hint="eastAsia" w:ascii="宋体" w:hAnsi="宋体" w:cs="宋体"/>
          <w:kern w:val="0"/>
          <w:szCs w:val="21"/>
        </w:rPr>
        <w:t>监理人发出暂停施工指示后56天内未向承包人发出复工通知，除该项停工属于第7.8.2项〔承包人原因引起的暂停施工〕及第17条〔不可抗力〕约定的情形外，承包人可向发包人提交书面通知，要求发包人在收到书面通知后28天内准许已暂停施工的部分或全部工程继续施工。发包人逾期不予批准的，则承包人可以通知发包人，将工程受影响的部分视为按第10.1款〔变更的范围〕第（2）项的可取消工作。</w:t>
      </w:r>
    </w:p>
    <w:p>
      <w:pPr>
        <w:ind w:firstLine="409" w:firstLineChars="195"/>
        <w:jc w:val="left"/>
        <w:rPr>
          <w:rFonts w:ascii="宋体" w:hAnsi="宋体" w:cs="宋体"/>
          <w:kern w:val="0"/>
          <w:szCs w:val="21"/>
        </w:rPr>
      </w:pPr>
      <w:r>
        <w:rPr>
          <w:rFonts w:hint="eastAsia" w:ascii="宋体" w:hAnsi="宋体" w:cs="宋体"/>
          <w:kern w:val="0"/>
          <w:szCs w:val="21"/>
        </w:rPr>
        <w:t>暂停施工持续84天以上不复工的，且不属于第7.8.2项〔承包人原因引起的暂停施工〕及第17条〔不可抗力〕约定的情形，并影响到整个工程以及合同目的实现的，承包人有权提出价格调整要求，或者解除合同。解除合同的，按照第16.1.3项〔因发包人违约解除合同〕执行。</w:t>
      </w:r>
    </w:p>
    <w:p>
      <w:pPr>
        <w:ind w:firstLine="409" w:firstLineChars="195"/>
        <w:jc w:val="left"/>
        <w:rPr>
          <w:rFonts w:ascii="宋体" w:hAnsi="宋体" w:cs="宋体"/>
          <w:kern w:val="0"/>
          <w:szCs w:val="21"/>
        </w:rPr>
      </w:pPr>
      <w:r>
        <w:rPr>
          <w:rFonts w:hint="eastAsia" w:ascii="宋体" w:hAnsi="宋体" w:cs="宋体"/>
          <w:kern w:val="0"/>
          <w:szCs w:val="21"/>
        </w:rPr>
        <w:t>7.8.7 暂停施工期间的工程照管</w:t>
      </w:r>
    </w:p>
    <w:p>
      <w:pPr>
        <w:ind w:firstLine="420" w:firstLineChars="200"/>
        <w:jc w:val="left"/>
        <w:rPr>
          <w:rFonts w:ascii="宋体" w:hAnsi="宋体" w:cs="宋体"/>
          <w:kern w:val="0"/>
          <w:szCs w:val="21"/>
        </w:rPr>
      </w:pPr>
      <w:r>
        <w:rPr>
          <w:rFonts w:hint="eastAsia" w:ascii="宋体" w:hAnsi="宋体" w:cs="宋体"/>
          <w:kern w:val="0"/>
          <w:szCs w:val="21"/>
        </w:rPr>
        <w:t>暂停施工期间，承包人应负责妥善照管工程并提供安全保障，由此增加的费用由责任方承担。</w:t>
      </w:r>
    </w:p>
    <w:p>
      <w:pPr>
        <w:widowControl w:val="0"/>
        <w:ind w:firstLine="420" w:firstLineChars="200"/>
        <w:jc w:val="left"/>
        <w:rPr>
          <w:rFonts w:ascii="宋体" w:hAnsi="宋体" w:cs="宋体"/>
          <w:kern w:val="0"/>
          <w:szCs w:val="21"/>
        </w:rPr>
      </w:pPr>
      <w:r>
        <w:rPr>
          <w:rFonts w:hint="eastAsia" w:ascii="宋体" w:hAnsi="宋体" w:cs="宋体"/>
          <w:kern w:val="0"/>
          <w:szCs w:val="21"/>
        </w:rPr>
        <w:t>7.8.8 暂停施工的措施</w:t>
      </w:r>
    </w:p>
    <w:p>
      <w:pPr>
        <w:widowControl w:val="0"/>
        <w:ind w:firstLine="420" w:firstLineChars="200"/>
        <w:jc w:val="left"/>
        <w:rPr>
          <w:rFonts w:ascii="宋体" w:hAnsi="宋体" w:cs="宋体"/>
          <w:kern w:val="0"/>
          <w:szCs w:val="21"/>
        </w:rPr>
      </w:pPr>
      <w:r>
        <w:rPr>
          <w:rFonts w:hint="eastAsia" w:ascii="宋体" w:hAnsi="宋体" w:cs="宋体"/>
          <w:kern w:val="0"/>
          <w:szCs w:val="21"/>
        </w:rPr>
        <w:t>暂停施工期间，发包人和承包人均应采取必要的措施确保工程质量及安全，防止因暂停施工扩大损失。</w:t>
      </w:r>
    </w:p>
    <w:p>
      <w:pPr>
        <w:widowControl w:val="0"/>
        <w:tabs>
          <w:tab w:val="left" w:pos="1008"/>
        </w:tabs>
        <w:jc w:val="left"/>
        <w:outlineLvl w:val="4"/>
        <w:rPr>
          <w:rFonts w:ascii="宋体" w:hAnsi="宋体" w:cs="宋体"/>
          <w:kern w:val="0"/>
          <w:szCs w:val="21"/>
        </w:rPr>
      </w:pPr>
      <w:bookmarkStart w:id="264" w:name="_Toc351203551"/>
      <w:r>
        <w:rPr>
          <w:rFonts w:hint="eastAsia" w:ascii="宋体" w:hAnsi="宋体" w:cs="宋体"/>
          <w:kern w:val="0"/>
          <w:szCs w:val="21"/>
        </w:rPr>
        <w:t>7.9提前竣工</w:t>
      </w:r>
      <w:bookmarkEnd w:id="264"/>
    </w:p>
    <w:p>
      <w:pPr>
        <w:widowControl w:val="0"/>
        <w:ind w:firstLine="420" w:firstLineChars="200"/>
        <w:jc w:val="left"/>
        <w:rPr>
          <w:rFonts w:ascii="宋体" w:hAnsi="宋体" w:cs="宋体"/>
          <w:kern w:val="0"/>
          <w:szCs w:val="21"/>
        </w:rPr>
      </w:pPr>
      <w:r>
        <w:rPr>
          <w:rFonts w:hint="eastAsia" w:ascii="宋体" w:hAnsi="宋体" w:cs="宋体"/>
          <w:kern w:val="0"/>
          <w:szCs w:val="21"/>
        </w:rPr>
        <w:t>7.9.1 发包人要求承包人提前竣工的，发包人应通过监理人向承包人下达提前竣工指示，承包人应向发包人和监理人提交提前竣工建议书，提前竣工建议书应包括实施的方案、缩短的时间、增加的合同价格等内容。发包人接受该提前竣工建议书的，监理人应与发包人和承包人协商采取加快工程进度的措施，并修订施工进度计划，由此增加的费用由发包人承担。承包人认为提前竣工指示无法执行的，应向监理人和发包人提出书面异议，发包人和监理人应在收到异议后7天内予以答复。任何情况下，发包人不得压缩合理工期。</w:t>
      </w:r>
    </w:p>
    <w:p>
      <w:pPr>
        <w:widowControl w:val="0"/>
        <w:ind w:firstLine="420" w:firstLineChars="200"/>
        <w:jc w:val="left"/>
        <w:rPr>
          <w:rFonts w:ascii="宋体" w:hAnsi="宋体" w:cs="宋体"/>
          <w:kern w:val="0"/>
          <w:szCs w:val="21"/>
        </w:rPr>
      </w:pPr>
      <w:r>
        <w:rPr>
          <w:rFonts w:hint="eastAsia" w:ascii="宋体" w:hAnsi="宋体" w:cs="宋体"/>
          <w:kern w:val="0"/>
          <w:szCs w:val="21"/>
        </w:rPr>
        <w:t>7.9.2 发包人要求承包人提前竣工，或承包人提出提前竣工的建议能够给发包人带来效益的，合同当事人可以在专用合同条款中约定提前竣工的奖励。</w:t>
      </w:r>
    </w:p>
    <w:p>
      <w:pPr>
        <w:widowControl w:val="0"/>
        <w:tabs>
          <w:tab w:val="left" w:pos="864"/>
        </w:tabs>
        <w:jc w:val="left"/>
        <w:outlineLvl w:val="3"/>
        <w:rPr>
          <w:rFonts w:ascii="宋体" w:hAnsi="宋体" w:cs="宋体"/>
          <w:kern w:val="0"/>
          <w:szCs w:val="21"/>
        </w:rPr>
      </w:pPr>
      <w:bookmarkStart w:id="265" w:name="_Toc351203552"/>
      <w:r>
        <w:rPr>
          <w:rFonts w:hint="eastAsia" w:ascii="宋体" w:hAnsi="宋体" w:cs="宋体"/>
          <w:kern w:val="0"/>
          <w:szCs w:val="21"/>
        </w:rPr>
        <w:t>8</w:t>
      </w:r>
      <w:bookmarkStart w:id="266" w:name="_Toc296346559"/>
      <w:bookmarkStart w:id="267" w:name="_Toc296503058"/>
      <w:bookmarkStart w:id="268" w:name="_Toc337558776"/>
      <w:r>
        <w:rPr>
          <w:rFonts w:hint="eastAsia" w:ascii="宋体" w:hAnsi="宋体" w:cs="宋体"/>
          <w:kern w:val="0"/>
          <w:szCs w:val="21"/>
        </w:rPr>
        <w:t>. 材料与设备</w:t>
      </w:r>
      <w:bookmarkEnd w:id="265"/>
    </w:p>
    <w:bookmarkEnd w:id="266"/>
    <w:bookmarkEnd w:id="267"/>
    <w:bookmarkEnd w:id="268"/>
    <w:p>
      <w:pPr>
        <w:widowControl w:val="0"/>
        <w:tabs>
          <w:tab w:val="left" w:pos="1008"/>
        </w:tabs>
        <w:jc w:val="left"/>
        <w:outlineLvl w:val="4"/>
        <w:rPr>
          <w:rFonts w:ascii="宋体" w:hAnsi="宋体" w:cs="宋体"/>
          <w:kern w:val="0"/>
          <w:szCs w:val="21"/>
        </w:rPr>
      </w:pPr>
      <w:bookmarkStart w:id="269" w:name="_Toc351203553"/>
      <w:r>
        <w:rPr>
          <w:rFonts w:hint="eastAsia" w:ascii="宋体" w:hAnsi="宋体" w:cs="宋体"/>
          <w:kern w:val="0"/>
          <w:szCs w:val="21"/>
        </w:rPr>
        <w:t>8</w:t>
      </w:r>
      <w:bookmarkStart w:id="270" w:name="_Toc296503059"/>
      <w:bookmarkStart w:id="271" w:name="_Toc296346560"/>
      <w:bookmarkStart w:id="272" w:name="_Toc337558777"/>
      <w:bookmarkStart w:id="273" w:name="_Toc468936960"/>
      <w:r>
        <w:rPr>
          <w:rFonts w:hint="eastAsia" w:ascii="宋体" w:hAnsi="宋体" w:cs="宋体"/>
          <w:kern w:val="0"/>
          <w:szCs w:val="21"/>
        </w:rPr>
        <w:t>.1发包人供应材料与工程设备</w:t>
      </w:r>
      <w:bookmarkEnd w:id="269"/>
    </w:p>
    <w:bookmarkEnd w:id="270"/>
    <w:bookmarkEnd w:id="271"/>
    <w:bookmarkEnd w:id="272"/>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发包人自行供应材料、工程设备的，应在签订合同时在专用合同条款的附件《发包人供应材料设备一览表》中明确材料、工程设备的品种、规格、型号、数量、单价、质量等级和送达地点。</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应提前30天通过监理人以书面形式通知发包人供应材料与工程设备进场。承包人按照第7.2.2项〔施工进度计划的修订〕约定修订施工进度计划时，需同时提交经修订后的发包人供应材料与工程设备的进场计划。</w:t>
      </w:r>
    </w:p>
    <w:p>
      <w:pPr>
        <w:widowControl w:val="0"/>
        <w:tabs>
          <w:tab w:val="left" w:pos="1008"/>
        </w:tabs>
        <w:jc w:val="left"/>
        <w:outlineLvl w:val="4"/>
        <w:rPr>
          <w:rFonts w:ascii="宋体" w:hAnsi="宋体" w:cs="宋体"/>
          <w:b/>
          <w:kern w:val="0"/>
          <w:szCs w:val="21"/>
        </w:rPr>
      </w:pPr>
      <w:bookmarkStart w:id="274" w:name="_Toc351203554"/>
      <w:r>
        <w:rPr>
          <w:rFonts w:hint="eastAsia" w:ascii="宋体" w:hAnsi="宋体" w:cs="宋体"/>
          <w:kern w:val="0"/>
          <w:szCs w:val="21"/>
        </w:rPr>
        <w:t>8</w:t>
      </w:r>
      <w:bookmarkStart w:id="275" w:name="_Toc296346561"/>
      <w:bookmarkStart w:id="276" w:name="_Toc296503060"/>
      <w:bookmarkStart w:id="277" w:name="_Toc337558778"/>
      <w:r>
        <w:rPr>
          <w:rFonts w:hint="eastAsia" w:ascii="宋体" w:hAnsi="宋体" w:cs="宋体"/>
          <w:kern w:val="0"/>
          <w:szCs w:val="21"/>
        </w:rPr>
        <w:t>.2承包人采购材料与工程设备</w:t>
      </w:r>
      <w:bookmarkEnd w:id="274"/>
    </w:p>
    <w:bookmarkEnd w:id="275"/>
    <w:bookmarkEnd w:id="276"/>
    <w:bookmarkEnd w:id="277"/>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负责采购材料、工程设备的，应按照设计和有关标准要求采购，并提供产品合格证明及出厂证明，对材料、工程设备质量负责。合同约定由承包人采购的材料、工程设备，发包人不得指定生产厂家或供应商，发包人违反本款约定指定生产厂家或供应商的，承包人有权拒绝，并由发包人承担相应责任。</w:t>
      </w:r>
    </w:p>
    <w:p>
      <w:pPr>
        <w:widowControl w:val="0"/>
        <w:tabs>
          <w:tab w:val="left" w:pos="1008"/>
        </w:tabs>
        <w:jc w:val="left"/>
        <w:outlineLvl w:val="4"/>
        <w:rPr>
          <w:rFonts w:ascii="宋体" w:hAnsi="宋体" w:cs="宋体"/>
          <w:kern w:val="0"/>
          <w:szCs w:val="21"/>
        </w:rPr>
      </w:pPr>
      <w:bookmarkStart w:id="278" w:name="_Toc351203555"/>
      <w:r>
        <w:rPr>
          <w:rFonts w:hint="eastAsia" w:ascii="宋体" w:hAnsi="宋体" w:cs="宋体"/>
          <w:kern w:val="0"/>
          <w:szCs w:val="21"/>
        </w:rPr>
        <w:t>8</w:t>
      </w:r>
      <w:bookmarkStart w:id="279" w:name="_Toc296503061"/>
      <w:bookmarkStart w:id="280" w:name="_Toc296346562"/>
      <w:bookmarkStart w:id="281" w:name="_Toc337558779"/>
      <w:r>
        <w:rPr>
          <w:rFonts w:hint="eastAsia" w:ascii="宋体" w:hAnsi="宋体" w:cs="宋体"/>
          <w:kern w:val="0"/>
          <w:szCs w:val="21"/>
        </w:rPr>
        <w:t>.3材料与工程设备的接收与拒收</w:t>
      </w:r>
      <w:bookmarkEnd w:id="278"/>
    </w:p>
    <w:bookmarkEnd w:id="279"/>
    <w:bookmarkEnd w:id="280"/>
    <w:bookmarkEnd w:id="281"/>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8.3.1 发包人应按《发包人供应材料设备一览表》约定的内容提供材料和工程设备，并向承包人提供产品合格证明及出厂证明，对其质量负责。发包人应提前24小时以书面形式通知承包人、监理人材料和工程设备到货时间，承包人负责材料和工程设备的清点、检验和接收。</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发包人提供的材料和工程设备的规格、数量或质量不符合合同约定的，或因发包人原因导致交货日期延误或交货地点变更等情况的，按照第16.1款〔发包人违约〕约定办理。</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8.3.2 承包人采购的材料和工程设备，应保证产品质量合格，承包人应在材料和工程设备到货前24小时通知监理人检验。承</w:t>
      </w:r>
      <w:bookmarkStart w:id="282" w:name="_Toc250655469"/>
      <w:r>
        <w:rPr>
          <w:rFonts w:hint="eastAsia" w:ascii="宋体" w:hAnsi="宋体" w:cs="宋体"/>
          <w:kern w:val="0"/>
          <w:szCs w:val="21"/>
        </w:rPr>
        <w:t>包人进行永久设备、材料的制造和生产的，应符合相关质量标准，并向监理人提交材料的样本以及有关资料，并应在使用该材料或工程设备之前获得监理人同意。</w:t>
      </w:r>
    </w:p>
    <w:bookmarkEnd w:id="282"/>
    <w:p>
      <w:pPr>
        <w:autoSpaceDE w:val="0"/>
        <w:autoSpaceDN w:val="0"/>
        <w:adjustRightInd w:val="0"/>
        <w:ind w:firstLine="315" w:firstLineChars="150"/>
        <w:jc w:val="left"/>
        <w:rPr>
          <w:rFonts w:ascii="宋体" w:hAnsi="宋体" w:cs="宋体"/>
          <w:kern w:val="0"/>
          <w:szCs w:val="21"/>
        </w:rPr>
      </w:pPr>
      <w:r>
        <w:rPr>
          <w:rFonts w:hint="eastAsia" w:ascii="宋体" w:hAnsi="宋体" w:cs="宋体"/>
          <w:kern w:val="0"/>
          <w:szCs w:val="21"/>
        </w:rPr>
        <w:t>承包人采购的材料和工程设备不符合设计或有关标准要求时，承包人应在监理人要求的合理期限内将不符合设计或有关标准要求的材料、工程设备运出施工现场，并重新采购符合要求的材料、工程设备，由此增加的费用和（或）延误的工期，由承包人承担。</w:t>
      </w:r>
    </w:p>
    <w:p>
      <w:pPr>
        <w:keepNext/>
        <w:keepLines/>
        <w:tabs>
          <w:tab w:val="left" w:pos="1008"/>
        </w:tabs>
        <w:jc w:val="left"/>
        <w:outlineLvl w:val="4"/>
        <w:rPr>
          <w:rFonts w:ascii="宋体" w:hAnsi="宋体" w:cs="宋体"/>
          <w:kern w:val="0"/>
          <w:szCs w:val="21"/>
        </w:rPr>
      </w:pPr>
      <w:bookmarkStart w:id="283" w:name="_Toc351203556"/>
      <w:r>
        <w:rPr>
          <w:rFonts w:hint="eastAsia" w:ascii="宋体" w:hAnsi="宋体" w:cs="宋体"/>
          <w:kern w:val="0"/>
          <w:szCs w:val="21"/>
        </w:rPr>
        <w:t>8</w:t>
      </w:r>
      <w:bookmarkStart w:id="284" w:name="_Toc296503062"/>
      <w:bookmarkStart w:id="285" w:name="_Toc337558780"/>
      <w:bookmarkStart w:id="286" w:name="_Toc296346563"/>
      <w:r>
        <w:rPr>
          <w:rFonts w:hint="eastAsia" w:ascii="宋体" w:hAnsi="宋体" w:cs="宋体"/>
          <w:kern w:val="0"/>
          <w:szCs w:val="21"/>
        </w:rPr>
        <w:t>.4材料与工程设备的保管与使用</w:t>
      </w:r>
      <w:bookmarkEnd w:id="283"/>
    </w:p>
    <w:bookmarkEnd w:id="284"/>
    <w:bookmarkEnd w:id="285"/>
    <w:bookmarkEnd w:id="286"/>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8.4.1 发包人供应</w:t>
      </w:r>
      <w:r>
        <w:rPr>
          <w:rFonts w:hint="eastAsia" w:ascii="宋体" w:hAnsi="宋体" w:cs="宋体"/>
          <w:szCs w:val="21"/>
        </w:rPr>
        <w:t>材料与</w:t>
      </w:r>
      <w:r>
        <w:rPr>
          <w:rFonts w:hint="eastAsia" w:ascii="宋体" w:hAnsi="宋体" w:cs="宋体"/>
          <w:kern w:val="0"/>
          <w:szCs w:val="21"/>
        </w:rPr>
        <w:t>工程</w:t>
      </w:r>
      <w:r>
        <w:rPr>
          <w:rFonts w:hint="eastAsia" w:ascii="宋体" w:hAnsi="宋体" w:cs="宋体"/>
          <w:szCs w:val="21"/>
        </w:rPr>
        <w:t>设备的保管与使用</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供应的材料和工程设备，承包人清点后由承包人妥善保管，保管费用由发包人承担，但已标价工程量清单或预算书已经列支或专用合同条款另有约定除外。因承包人原因发生丢失毁损的，由承包人负责赔偿；监理人未通知承包人清点的，承包人不负责材料和工程设备的保管，由此导致丢失毁损的由发包人负责。</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发包人供应的材料和工程设备使用前，由承包人负责检验，检验费用由发包人承担，不合格的不得使用。</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8.4.2 承包人采购</w:t>
      </w:r>
      <w:r>
        <w:rPr>
          <w:rFonts w:hint="eastAsia" w:ascii="宋体" w:hAnsi="宋体" w:cs="宋体"/>
          <w:szCs w:val="21"/>
        </w:rPr>
        <w:t>材料与</w:t>
      </w:r>
      <w:r>
        <w:rPr>
          <w:rFonts w:hint="eastAsia" w:ascii="宋体" w:hAnsi="宋体" w:cs="宋体"/>
          <w:kern w:val="0"/>
          <w:szCs w:val="21"/>
        </w:rPr>
        <w:t>工程</w:t>
      </w:r>
      <w:r>
        <w:rPr>
          <w:rFonts w:hint="eastAsia" w:ascii="宋体" w:hAnsi="宋体" w:cs="宋体"/>
          <w:szCs w:val="21"/>
        </w:rPr>
        <w:t>设备的保管与使用</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采购的材料和工程设备由承包人妥善保管，保管费用由承包人承担。法律规定材料和工程设备使用前必须进行检验或试验的，承包人应按监理人的要求进行检验或试验，检验或试验费用由承包人承担，不合格的不得使用。</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发包人或监理人发现承包人使用不符合设计或有关标准要求的材料和工程设备时，有权要求承包人进行修复、拆除或重新采购，由此增加的费用和（或）延误的工期，由承包人承担。</w:t>
      </w:r>
    </w:p>
    <w:p>
      <w:pPr>
        <w:keepNext/>
        <w:keepLines/>
        <w:tabs>
          <w:tab w:val="left" w:pos="1008"/>
        </w:tabs>
        <w:jc w:val="left"/>
        <w:outlineLvl w:val="4"/>
        <w:rPr>
          <w:rFonts w:ascii="宋体" w:hAnsi="宋体" w:cs="宋体"/>
          <w:kern w:val="0"/>
          <w:szCs w:val="21"/>
        </w:rPr>
      </w:pPr>
      <w:bookmarkStart w:id="287" w:name="_Toc351203557"/>
      <w:r>
        <w:rPr>
          <w:rFonts w:hint="eastAsia" w:ascii="宋体" w:hAnsi="宋体" w:cs="宋体"/>
          <w:kern w:val="0"/>
          <w:szCs w:val="21"/>
        </w:rPr>
        <w:t>8.5禁止使用不合格的材料和工程设备</w:t>
      </w:r>
      <w:bookmarkEnd w:id="287"/>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8.5.1 监理人有权拒绝承包人提供的不合格材料或工程设备，并要求承包人立即进行更换。监理人应在更换后再次进行检查和检验，由此增加的费用和（或）延误的工期由承包人承担。</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8.5.2 监理人发现承包人使用了不合格的材料和工程设备，承包人应按照监理人的指示立即改正，并禁止在工程中继续使用不合格的材料和工程设备。</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8.5.3 发包人提供的材料或工程设备不符合合同要求的，承包人有权拒绝，并可要求发包人更换，由此增加的费用和（或）延误的工期由发包人承担，并支付承包人合理的利润。</w:t>
      </w:r>
    </w:p>
    <w:p>
      <w:pPr>
        <w:keepNext w:val="0"/>
        <w:keepLines w:val="0"/>
        <w:pageBreakBefore w:val="0"/>
        <w:widowControl w:val="0"/>
        <w:tabs>
          <w:tab w:val="left" w:pos="1008"/>
        </w:tabs>
        <w:kinsoku/>
        <w:wordWrap/>
        <w:overflowPunct/>
        <w:topLinePunct w:val="0"/>
        <w:bidi w:val="0"/>
        <w:snapToGrid/>
        <w:jc w:val="left"/>
        <w:textAlignment w:val="auto"/>
        <w:outlineLvl w:val="4"/>
        <w:rPr>
          <w:rFonts w:ascii="宋体" w:hAnsi="宋体" w:cs="宋体"/>
          <w:kern w:val="0"/>
          <w:szCs w:val="21"/>
        </w:rPr>
      </w:pPr>
      <w:bookmarkStart w:id="288" w:name="_Toc351203558"/>
      <w:r>
        <w:rPr>
          <w:rFonts w:hint="eastAsia" w:ascii="宋体" w:hAnsi="宋体" w:cs="宋体"/>
          <w:kern w:val="0"/>
          <w:szCs w:val="21"/>
        </w:rPr>
        <w:t>8.6 样品</w:t>
      </w:r>
      <w:bookmarkEnd w:id="288"/>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8.6.1</w:t>
      </w:r>
      <w:r>
        <w:rPr>
          <w:rFonts w:hint="eastAsia" w:ascii="宋体" w:hAnsi="宋体" w:cs="宋体"/>
          <w:kern w:val="0"/>
          <w:szCs w:val="21"/>
        </w:rPr>
        <w:tab/>
      </w:r>
      <w:r>
        <w:rPr>
          <w:rFonts w:hint="eastAsia" w:ascii="宋体" w:hAnsi="宋体" w:cs="宋体"/>
          <w:kern w:val="0"/>
          <w:szCs w:val="21"/>
        </w:rPr>
        <w:t>样品的报送与封存</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需要承包人报送样品的材料或工程设备，样品的种类、名称、规格、数量等要求均应在专用合同条款中约定。样品的报送程序如下：</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1）承包人应在计划采购前28天向监理人报送样品。承包人报送的样品均应来自供应材料的实际生产地，且提供的样品的规格、数量足以表明材料或工程设备的质量、型号、颜色、表面处理、质地、误差和其他要求的特征。</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2）承包人每次报送样品时应随附申报单，申报单应载明报送样品的相关数据和资料，并标明每件样品对应的图纸号，预留监理人批复意见栏。监理人应在收到承包人报送的样品后7天向承包人回复经发包人签认的样品审批意见。</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（3）经发包人和监理人审批确认的样品应按约定的方法封样，封存的样品作为检验工程相关部分的标准之一。承包人在施工过程中不得使用与样品不符的材料或工程设备。</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4）发包人和监理人对样品的审批确认仅为确认相关材料或工程设备的特征或用途，不得被理解为对合同的修改或改变，也并不减轻或免除承包人任何的责任和义务。如果封存的样品修改或改变了合同约定，合同当事人应当以书面协议予以确认。</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8.6.2 样品的保管</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经批准的样品应由监理人负责封存于现场，承包人应在现场为保存样品提供适当和固定的场所并保持适当和良好的存储环境条件。</w:t>
      </w:r>
    </w:p>
    <w:p>
      <w:pPr>
        <w:keepNext/>
        <w:keepLines/>
        <w:tabs>
          <w:tab w:val="left" w:pos="1008"/>
        </w:tabs>
        <w:jc w:val="left"/>
        <w:outlineLvl w:val="4"/>
        <w:rPr>
          <w:rFonts w:ascii="宋体" w:hAnsi="宋体" w:cs="宋体"/>
          <w:kern w:val="0"/>
          <w:szCs w:val="21"/>
        </w:rPr>
      </w:pPr>
      <w:bookmarkStart w:id="289" w:name="_Toc351203559"/>
      <w:r>
        <w:rPr>
          <w:rFonts w:hint="eastAsia" w:ascii="宋体" w:hAnsi="宋体" w:cs="宋体"/>
          <w:kern w:val="0"/>
          <w:szCs w:val="21"/>
        </w:rPr>
        <w:t>8.7材料与工程设备的替代</w:t>
      </w:r>
      <w:bookmarkEnd w:id="289"/>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8.7.1 出现下列情况需要使用替代材料和工程设备的，承包人应按照第8.7.2项约定的程序执行：</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（1）基准日期后生效的法律规定禁止使用的；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（2）发包人要求使用替代品的；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（3）因其他原因必须使用替代品的。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8.7.2 承包人应在使用替代材料和工程设备28天前书面通知监理人，并附下列文件：</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（1）被替代的材料和工程设备的名称、数量、规格、型号、品牌、性能、价格及其他相关资料；</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（2）替代品的名称、数量、规格、型号、品牌、性能、价格及其他相关资料；</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（3）替代品与被替代产品之间的差异以及使用替代品可能对工程产生的影响；</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（4）替代品与被替代产品的价格差异；</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（5）使用替代品的理由和原因说明；</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（6）监理人要求的其他文件。</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监理人应在收到通知后14天内向承包人发出经发包人签认的书面指示；监理人逾期发出书面指示的，视为发包人和监理人同意使用替代品。</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8.7.3 发包人认可使用替代材料和工程设备的，替代材料和工程设备的价格，按照已标价工程量清单或预算书相同项目的价格认定；无相同项目的，参考相似项目价格认定；既无相同项目也无相似项目的，按照合理的成本与利润构成的原则，由合同当事人按照第4.4款〔商定或确定〕确定价格。</w:t>
      </w:r>
    </w:p>
    <w:p>
      <w:pPr>
        <w:keepNext/>
        <w:keepLines/>
        <w:tabs>
          <w:tab w:val="left" w:pos="1008"/>
        </w:tabs>
        <w:jc w:val="left"/>
        <w:outlineLvl w:val="4"/>
        <w:rPr>
          <w:rFonts w:ascii="宋体" w:hAnsi="宋体" w:cs="宋体"/>
          <w:kern w:val="0"/>
          <w:szCs w:val="21"/>
        </w:rPr>
      </w:pPr>
      <w:bookmarkStart w:id="290" w:name="_Toc351203560"/>
      <w:r>
        <w:rPr>
          <w:rFonts w:hint="eastAsia" w:ascii="宋体" w:hAnsi="宋体" w:cs="宋体"/>
          <w:kern w:val="0"/>
          <w:szCs w:val="21"/>
        </w:rPr>
        <w:t>8.8施工设备和临时设施</w:t>
      </w:r>
      <w:bookmarkEnd w:id="290"/>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8.8.1 承包人提供的施工设备和临时设施</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承包人应按合同进度计划的要求，及时配置施工设备和修建临时设施。进入施工场地的承包人设备需经监理人核查后才能投入使用。承包人更换合同约定的承包人设备的，应报监理人批准。</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除专用合同条款另有约定外，承包人应自行承担修建临时设施的费用，需要临时占地的，应由发包人办理申请手续并承担相应费用。</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8.8.2发包人提供的施工设备和临时设施</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发包人提供的施工设备或临时设施在专用合同条款中约定。</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8.8.3要求承包人增加或更换施工设备</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承包人使用的施工设备不能满足合同进度计划和（或）质量要求时，监理人有权要求承包人增加或更换施工设备，承包人应及时增加或更换，由此增加的费用和（或）延误的工期由承包人承担。</w:t>
      </w:r>
    </w:p>
    <w:p>
      <w:pPr>
        <w:widowControl w:val="0"/>
        <w:tabs>
          <w:tab w:val="left" w:pos="1008"/>
        </w:tabs>
        <w:jc w:val="left"/>
        <w:outlineLvl w:val="4"/>
        <w:rPr>
          <w:rFonts w:ascii="宋体" w:hAnsi="宋体" w:cs="宋体"/>
          <w:kern w:val="0"/>
          <w:szCs w:val="21"/>
        </w:rPr>
      </w:pPr>
      <w:bookmarkStart w:id="291" w:name="_Toc351203561"/>
      <w:r>
        <w:rPr>
          <w:rFonts w:hint="eastAsia" w:ascii="宋体" w:hAnsi="宋体" w:cs="宋体"/>
          <w:kern w:val="0"/>
          <w:szCs w:val="21"/>
        </w:rPr>
        <w:t>8</w:t>
      </w:r>
      <w:bookmarkStart w:id="292" w:name="_Toc296346564"/>
      <w:bookmarkStart w:id="293" w:name="_Toc337558781"/>
      <w:bookmarkStart w:id="294" w:name="_Toc296503063"/>
      <w:r>
        <w:rPr>
          <w:rFonts w:hint="eastAsia" w:ascii="宋体" w:hAnsi="宋体" w:cs="宋体"/>
          <w:kern w:val="0"/>
          <w:szCs w:val="21"/>
        </w:rPr>
        <w:t>.9材料与设备专用</w:t>
      </w:r>
      <w:bookmarkEnd w:id="291"/>
      <w:r>
        <w:rPr>
          <w:rFonts w:hint="eastAsia" w:ascii="宋体" w:hAnsi="宋体" w:cs="宋体"/>
          <w:kern w:val="0"/>
          <w:szCs w:val="21"/>
        </w:rPr>
        <w:t>要求</w:t>
      </w:r>
    </w:p>
    <w:bookmarkEnd w:id="292"/>
    <w:bookmarkEnd w:id="293"/>
    <w:bookmarkEnd w:id="294"/>
    <w:p>
      <w:pPr>
        <w:widowControl w:val="0"/>
        <w:ind w:firstLine="420" w:firstLineChars="200"/>
        <w:jc w:val="left"/>
        <w:rPr>
          <w:rFonts w:ascii="宋体" w:hAnsi="宋体" w:cs="宋体"/>
          <w:kern w:val="0"/>
          <w:szCs w:val="21"/>
        </w:rPr>
      </w:pPr>
      <w:r>
        <w:rPr>
          <w:rFonts w:hint="eastAsia" w:ascii="宋体" w:hAnsi="宋体" w:cs="宋体"/>
          <w:kern w:val="0"/>
          <w:szCs w:val="21"/>
        </w:rPr>
        <w:t>承包人运入施工现场的材料、工程设备、施工设备以及在施工场地建设的临时设施，包括备品备件、安装工具与资料，必须专用于工程。未经发包人批准，承包人不得运出施工现场或挪作他用；</w:t>
      </w:r>
      <w:bookmarkEnd w:id="273"/>
      <w:r>
        <w:rPr>
          <w:rFonts w:hint="eastAsia" w:ascii="宋体" w:hAnsi="宋体" w:cs="宋体"/>
          <w:kern w:val="0"/>
          <w:szCs w:val="21"/>
        </w:rPr>
        <w:t>经发包人批准，承包人可以根据施工进度计划撤走闲置的施工设备和其他物品。</w:t>
      </w:r>
    </w:p>
    <w:p>
      <w:pPr>
        <w:widowControl w:val="0"/>
        <w:tabs>
          <w:tab w:val="left" w:pos="864"/>
        </w:tabs>
        <w:jc w:val="left"/>
        <w:outlineLvl w:val="3"/>
        <w:rPr>
          <w:rFonts w:ascii="宋体" w:hAnsi="宋体" w:cs="宋体"/>
          <w:kern w:val="0"/>
          <w:szCs w:val="21"/>
        </w:rPr>
      </w:pPr>
      <w:bookmarkStart w:id="295" w:name="_Toc351203562"/>
      <w:r>
        <w:rPr>
          <w:rFonts w:hint="eastAsia" w:ascii="宋体" w:hAnsi="宋体" w:cs="宋体"/>
          <w:kern w:val="0"/>
          <w:szCs w:val="21"/>
        </w:rPr>
        <w:t>9</w:t>
      </w:r>
      <w:bookmarkStart w:id="296" w:name="_Toc337558782"/>
      <w:bookmarkStart w:id="297" w:name="_Toc296346584"/>
      <w:bookmarkStart w:id="298" w:name="_Toc296503083"/>
      <w:r>
        <w:rPr>
          <w:rFonts w:hint="eastAsia" w:ascii="宋体" w:hAnsi="宋体" w:cs="宋体"/>
          <w:kern w:val="0"/>
          <w:szCs w:val="21"/>
        </w:rPr>
        <w:t>. 试验与检验</w:t>
      </w:r>
      <w:bookmarkEnd w:id="295"/>
    </w:p>
    <w:bookmarkEnd w:id="296"/>
    <w:p>
      <w:pPr>
        <w:widowControl w:val="0"/>
        <w:tabs>
          <w:tab w:val="left" w:pos="1008"/>
        </w:tabs>
        <w:jc w:val="left"/>
        <w:outlineLvl w:val="4"/>
        <w:rPr>
          <w:rFonts w:ascii="宋体" w:hAnsi="宋体" w:cs="宋体"/>
          <w:kern w:val="0"/>
          <w:szCs w:val="21"/>
        </w:rPr>
      </w:pPr>
      <w:bookmarkStart w:id="299" w:name="_Toc351203563"/>
      <w:r>
        <w:rPr>
          <w:rFonts w:hint="eastAsia" w:ascii="宋体" w:hAnsi="宋体" w:cs="宋体"/>
          <w:kern w:val="0"/>
          <w:szCs w:val="21"/>
        </w:rPr>
        <w:t>9</w:t>
      </w:r>
      <w:bookmarkStart w:id="300" w:name="_Toc337558783"/>
      <w:r>
        <w:rPr>
          <w:rFonts w:hint="eastAsia" w:ascii="宋体" w:hAnsi="宋体" w:cs="宋体"/>
          <w:kern w:val="0"/>
          <w:szCs w:val="21"/>
        </w:rPr>
        <w:t>.1试验设备与试验人员</w:t>
      </w:r>
      <w:bookmarkEnd w:id="299"/>
    </w:p>
    <w:bookmarkEnd w:id="300"/>
    <w:p>
      <w:pPr>
        <w:widowControl w:val="0"/>
        <w:ind w:firstLine="420" w:firstLineChars="200"/>
        <w:jc w:val="left"/>
        <w:rPr>
          <w:rFonts w:ascii="宋体" w:hAnsi="宋体" w:cs="宋体"/>
          <w:kern w:val="0"/>
          <w:szCs w:val="21"/>
        </w:rPr>
      </w:pPr>
      <w:r>
        <w:rPr>
          <w:rFonts w:hint="eastAsia" w:ascii="宋体" w:hAnsi="宋体" w:cs="宋体"/>
          <w:kern w:val="0"/>
          <w:szCs w:val="21"/>
        </w:rPr>
        <w:t>9.1.1 承包人根据合同约定或监理人指示进行的现场材料试验，应由承包人提供试验场所、试验人员、试验设备以及其他必要的试验条件。监理人在必要时可以使用承包人提供的试验场所、试验设备以及其他试验条件，进行以工程质量检查为目的的材料复核试验，承包人应予以协助。</w:t>
      </w:r>
    </w:p>
    <w:p>
      <w:pPr>
        <w:widowControl w:val="0"/>
        <w:ind w:firstLine="420" w:firstLineChars="200"/>
        <w:jc w:val="left"/>
        <w:rPr>
          <w:rFonts w:ascii="宋体" w:hAnsi="宋体" w:cs="宋体"/>
          <w:kern w:val="0"/>
          <w:szCs w:val="21"/>
        </w:rPr>
      </w:pPr>
      <w:r>
        <w:rPr>
          <w:rFonts w:hint="eastAsia" w:ascii="宋体" w:hAnsi="宋体" w:cs="宋体"/>
          <w:kern w:val="0"/>
          <w:szCs w:val="21"/>
        </w:rPr>
        <w:t>9.1.2 承包人应按专用合同条款的约定提供试验设备、取样装置、试验场所和试验条件，并向监理人提交相应进场计划表。</w:t>
      </w:r>
    </w:p>
    <w:p>
      <w:pPr>
        <w:widowControl w:val="0"/>
        <w:ind w:firstLine="420" w:firstLineChars="200"/>
        <w:jc w:val="left"/>
        <w:rPr>
          <w:rFonts w:ascii="宋体" w:hAnsi="宋体" w:cs="宋体"/>
          <w:kern w:val="0"/>
          <w:szCs w:val="21"/>
        </w:rPr>
      </w:pPr>
      <w:r>
        <w:rPr>
          <w:rFonts w:hint="eastAsia" w:ascii="宋体" w:hAnsi="宋体" w:cs="宋体"/>
          <w:kern w:val="0"/>
          <w:szCs w:val="21"/>
        </w:rPr>
        <w:t>承包人配置的试验设备要符合相应试验规程的要求并经过具有资质的检测单位检测，且在正式使用该试验设备前，需要经过监理人与承包人共同校定。</w:t>
      </w:r>
    </w:p>
    <w:p>
      <w:pPr>
        <w:widowControl w:val="0"/>
        <w:ind w:firstLine="420" w:firstLineChars="200"/>
        <w:jc w:val="left"/>
        <w:rPr>
          <w:rFonts w:ascii="宋体" w:hAnsi="宋体" w:cs="宋体"/>
          <w:kern w:val="0"/>
          <w:szCs w:val="21"/>
        </w:rPr>
      </w:pPr>
      <w:r>
        <w:rPr>
          <w:rFonts w:hint="eastAsia" w:ascii="宋体" w:hAnsi="宋体" w:cs="宋体"/>
          <w:kern w:val="0"/>
          <w:szCs w:val="21"/>
        </w:rPr>
        <w:t>9.1.3 承包人应向监理人提交试验人员的名单及其岗位、资格等证明资料，试验人员必须能够熟练进行相应的检测试验，承包人对试验人员的试验程序和试验结果的正确性负责。</w:t>
      </w:r>
    </w:p>
    <w:p>
      <w:pPr>
        <w:widowControl w:val="0"/>
        <w:tabs>
          <w:tab w:val="left" w:pos="1008"/>
        </w:tabs>
        <w:jc w:val="left"/>
        <w:outlineLvl w:val="4"/>
        <w:rPr>
          <w:rFonts w:ascii="宋体" w:hAnsi="宋体" w:cs="宋体"/>
          <w:kern w:val="0"/>
          <w:szCs w:val="21"/>
        </w:rPr>
      </w:pPr>
      <w:bookmarkStart w:id="301" w:name="_Toc351203564"/>
      <w:r>
        <w:rPr>
          <w:rFonts w:hint="eastAsia" w:ascii="宋体" w:hAnsi="宋体" w:cs="宋体"/>
          <w:kern w:val="0"/>
          <w:szCs w:val="21"/>
        </w:rPr>
        <w:t>9</w:t>
      </w:r>
      <w:bookmarkStart w:id="302" w:name="_Toc337558784"/>
      <w:r>
        <w:rPr>
          <w:rFonts w:hint="eastAsia" w:ascii="宋体" w:hAnsi="宋体" w:cs="宋体"/>
          <w:kern w:val="0"/>
          <w:szCs w:val="21"/>
        </w:rPr>
        <w:t>.2取样</w:t>
      </w:r>
      <w:bookmarkEnd w:id="301"/>
    </w:p>
    <w:bookmarkEnd w:id="302"/>
    <w:p>
      <w:pPr>
        <w:widowControl w:val="0"/>
        <w:ind w:firstLine="420" w:firstLineChars="200"/>
        <w:jc w:val="left"/>
        <w:rPr>
          <w:rFonts w:ascii="宋体" w:hAnsi="宋体" w:cs="宋体"/>
          <w:kern w:val="0"/>
          <w:szCs w:val="21"/>
        </w:rPr>
      </w:pPr>
      <w:r>
        <w:rPr>
          <w:rFonts w:hint="eastAsia" w:ascii="宋体" w:hAnsi="宋体" w:cs="宋体"/>
          <w:kern w:val="0"/>
          <w:szCs w:val="21"/>
        </w:rPr>
        <w:t>试验属于自检性质的，承包人可以单独取样。试验属于监理人抽检性质的，可由监理人取样，也可由承包人的试验人员在监理人的监督下取样。</w:t>
      </w:r>
    </w:p>
    <w:p>
      <w:pPr>
        <w:widowControl w:val="0"/>
        <w:tabs>
          <w:tab w:val="left" w:pos="1008"/>
        </w:tabs>
        <w:jc w:val="left"/>
        <w:outlineLvl w:val="4"/>
        <w:rPr>
          <w:rFonts w:ascii="宋体" w:hAnsi="宋体" w:cs="宋体"/>
          <w:kern w:val="0"/>
          <w:szCs w:val="21"/>
        </w:rPr>
      </w:pPr>
      <w:bookmarkStart w:id="303" w:name="_Toc351203565"/>
      <w:r>
        <w:rPr>
          <w:rFonts w:hint="eastAsia" w:ascii="宋体" w:hAnsi="宋体" w:cs="宋体"/>
          <w:kern w:val="0"/>
          <w:szCs w:val="21"/>
        </w:rPr>
        <w:t>9</w:t>
      </w:r>
      <w:bookmarkStart w:id="304" w:name="_Toc337558785"/>
      <w:r>
        <w:rPr>
          <w:rFonts w:hint="eastAsia" w:ascii="宋体" w:hAnsi="宋体" w:cs="宋体"/>
          <w:kern w:val="0"/>
          <w:szCs w:val="21"/>
        </w:rPr>
        <w:t>.3材料、工程设备和工程的试验和检验</w:t>
      </w:r>
      <w:bookmarkEnd w:id="303"/>
    </w:p>
    <w:bookmarkEnd w:id="304"/>
    <w:p>
      <w:pPr>
        <w:widowControl w:val="0"/>
        <w:ind w:firstLine="420" w:firstLineChars="200"/>
        <w:jc w:val="left"/>
        <w:rPr>
          <w:rFonts w:ascii="宋体" w:hAnsi="宋体" w:cs="宋体"/>
          <w:kern w:val="0"/>
          <w:szCs w:val="21"/>
        </w:rPr>
      </w:pPr>
      <w:r>
        <w:rPr>
          <w:rFonts w:hint="eastAsia" w:ascii="宋体" w:hAnsi="宋体" w:cs="宋体"/>
          <w:kern w:val="0"/>
          <w:szCs w:val="21"/>
        </w:rPr>
        <w:t>9.3.1承包人应按合同约定进行材料、工程设备和工程的试验和检验，并为监理人对上述材料、工程设备和工程的质量检查提供必要的试验资料和原始记录。按合同约定应由监理人与承包人共同进行试验和检验的，由承包人负责提供必要的试验资料和原始记录。</w:t>
      </w:r>
    </w:p>
    <w:p>
      <w:pPr>
        <w:widowControl w:val="0"/>
        <w:ind w:firstLine="420" w:firstLineChars="200"/>
        <w:jc w:val="left"/>
        <w:rPr>
          <w:rFonts w:ascii="宋体" w:hAnsi="宋体" w:cs="宋体"/>
          <w:kern w:val="0"/>
          <w:szCs w:val="21"/>
        </w:rPr>
      </w:pPr>
      <w:r>
        <w:rPr>
          <w:rFonts w:hint="eastAsia" w:ascii="宋体" w:hAnsi="宋体" w:cs="宋体"/>
          <w:kern w:val="0"/>
          <w:szCs w:val="21"/>
        </w:rPr>
        <w:t>9.3.2试验属于自检性质的，承包人可以单独进行试验。试验属于监理人抽检性质的，监理人可以单独进行试验，也可由承包人与监理人共同进行。承包人对由监理人单独进行的试验结果有异议的，可以申请重新共同进行试验。约定共同进行试验的，监理人未按照约定参加试验的，承包人可自行试验，并将试验结果报送监理人，监理人应承认该试验结果。</w:t>
      </w:r>
    </w:p>
    <w:p>
      <w:pPr>
        <w:widowControl w:val="0"/>
        <w:ind w:firstLine="420" w:firstLineChars="200"/>
        <w:jc w:val="left"/>
        <w:rPr>
          <w:rFonts w:ascii="宋体" w:hAnsi="宋体" w:cs="宋体"/>
          <w:kern w:val="0"/>
          <w:szCs w:val="21"/>
        </w:rPr>
      </w:pPr>
      <w:r>
        <w:rPr>
          <w:rFonts w:hint="eastAsia" w:ascii="宋体" w:hAnsi="宋体" w:cs="宋体"/>
          <w:kern w:val="0"/>
          <w:szCs w:val="21"/>
        </w:rPr>
        <w:t>9.3.3监理人对承包人的试验和检验结果有异议的，或为查清承包人试验和检验成果的可靠性要求承包人重新试验和检验的，可由监理人与承包人共同进行。重新试验和检验的结果证明该项材料、工程设备或工程的质量不符合合同要求的，由此增加的费用和（或）延误的工期由承包人承担；重新试验和检验结果证明该项材料、工程设备和工程符合合同要求的，由此增加的费用和（或）延误的工期由发包人承担。</w:t>
      </w:r>
    </w:p>
    <w:p>
      <w:pPr>
        <w:keepNext w:val="0"/>
        <w:keepLines w:val="0"/>
        <w:pageBreakBefore w:val="0"/>
        <w:widowControl w:val="0"/>
        <w:tabs>
          <w:tab w:val="left" w:pos="1008"/>
        </w:tabs>
        <w:kinsoku/>
        <w:wordWrap/>
        <w:overflowPunct/>
        <w:topLinePunct w:val="0"/>
        <w:bidi w:val="0"/>
        <w:snapToGrid/>
        <w:jc w:val="left"/>
        <w:textAlignment w:val="auto"/>
        <w:outlineLvl w:val="4"/>
        <w:rPr>
          <w:rFonts w:ascii="宋体" w:hAnsi="宋体" w:cs="宋体"/>
          <w:kern w:val="0"/>
          <w:szCs w:val="21"/>
        </w:rPr>
      </w:pPr>
      <w:bookmarkStart w:id="305" w:name="_Toc351203566"/>
      <w:r>
        <w:rPr>
          <w:rFonts w:hint="eastAsia" w:ascii="宋体" w:hAnsi="宋体" w:cs="宋体"/>
          <w:kern w:val="0"/>
          <w:szCs w:val="21"/>
        </w:rPr>
        <w:t>9</w:t>
      </w:r>
      <w:bookmarkStart w:id="306" w:name="_Toc337558786"/>
      <w:r>
        <w:rPr>
          <w:rFonts w:hint="eastAsia" w:ascii="宋体" w:hAnsi="宋体" w:cs="宋体"/>
          <w:kern w:val="0"/>
          <w:szCs w:val="21"/>
        </w:rPr>
        <w:t>.4现场工艺试验</w:t>
      </w:r>
      <w:bookmarkEnd w:id="305"/>
    </w:p>
    <w:bookmarkEnd w:id="306"/>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承包人应按合同约定或监理人指示进行现场工艺试验。对大型的现场工艺试验，监理人认为必要时，承包人应根据监理人提出的工艺试验要求，编制工艺试验措施计划，报送监理人审查。</w:t>
      </w:r>
    </w:p>
    <w:p>
      <w:pPr>
        <w:keepNext w:val="0"/>
        <w:keepLines w:val="0"/>
        <w:pageBreakBefore w:val="0"/>
        <w:widowControl w:val="0"/>
        <w:tabs>
          <w:tab w:val="left" w:pos="864"/>
        </w:tabs>
        <w:kinsoku/>
        <w:wordWrap/>
        <w:overflowPunct/>
        <w:topLinePunct w:val="0"/>
        <w:bidi w:val="0"/>
        <w:snapToGrid/>
        <w:jc w:val="left"/>
        <w:textAlignment w:val="auto"/>
        <w:outlineLvl w:val="3"/>
        <w:rPr>
          <w:rFonts w:ascii="宋体" w:hAnsi="宋体" w:cs="宋体"/>
          <w:kern w:val="0"/>
          <w:szCs w:val="21"/>
        </w:rPr>
      </w:pPr>
      <w:bookmarkStart w:id="307" w:name="_Toc351203567"/>
      <w:r>
        <w:rPr>
          <w:rFonts w:hint="eastAsia" w:ascii="宋体" w:hAnsi="宋体" w:cs="宋体"/>
          <w:kern w:val="0"/>
          <w:szCs w:val="21"/>
        </w:rPr>
        <w:t>1</w:t>
      </w:r>
      <w:bookmarkStart w:id="308" w:name="_Toc337558787"/>
      <w:r>
        <w:rPr>
          <w:rFonts w:hint="eastAsia" w:ascii="宋体" w:hAnsi="宋体" w:cs="宋体"/>
          <w:kern w:val="0"/>
          <w:szCs w:val="21"/>
        </w:rPr>
        <w:t>0. 变更</w:t>
      </w:r>
      <w:bookmarkEnd w:id="297"/>
      <w:bookmarkEnd w:id="298"/>
      <w:bookmarkEnd w:id="307"/>
    </w:p>
    <w:bookmarkEnd w:id="308"/>
    <w:p>
      <w:pPr>
        <w:keepNext w:val="0"/>
        <w:keepLines w:val="0"/>
        <w:pageBreakBefore w:val="0"/>
        <w:widowControl w:val="0"/>
        <w:tabs>
          <w:tab w:val="left" w:pos="1008"/>
        </w:tabs>
        <w:kinsoku/>
        <w:wordWrap/>
        <w:overflowPunct/>
        <w:topLinePunct w:val="0"/>
        <w:bidi w:val="0"/>
        <w:snapToGrid/>
        <w:jc w:val="left"/>
        <w:textAlignment w:val="auto"/>
        <w:outlineLvl w:val="4"/>
        <w:rPr>
          <w:rFonts w:ascii="宋体" w:hAnsi="宋体" w:cs="宋体"/>
          <w:kern w:val="0"/>
          <w:szCs w:val="21"/>
        </w:rPr>
      </w:pPr>
      <w:bookmarkStart w:id="309" w:name="_Toc351203568"/>
      <w:r>
        <w:rPr>
          <w:rFonts w:hint="eastAsia" w:ascii="宋体" w:hAnsi="宋体" w:cs="宋体"/>
          <w:kern w:val="0"/>
          <w:szCs w:val="21"/>
        </w:rPr>
        <w:t>1</w:t>
      </w:r>
      <w:bookmarkStart w:id="310" w:name="_Toc296503084"/>
      <w:bookmarkStart w:id="311" w:name="_Toc296346585"/>
      <w:bookmarkStart w:id="312" w:name="_Toc337558788"/>
      <w:r>
        <w:rPr>
          <w:rFonts w:hint="eastAsia" w:ascii="宋体" w:hAnsi="宋体" w:cs="宋体"/>
          <w:kern w:val="0"/>
          <w:szCs w:val="21"/>
        </w:rPr>
        <w:t>0.1变更的范围</w:t>
      </w:r>
      <w:bookmarkEnd w:id="309"/>
    </w:p>
    <w:bookmarkEnd w:id="310"/>
    <w:bookmarkEnd w:id="311"/>
    <w:bookmarkEnd w:id="312"/>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除专用合同条款另有约定外，合同履行过程中发生以下情形的，应按照本条约定进行变更：</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（1）增加或减少合同中任何工作，或追加额外的工作；</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（2）取消合同中任何工作，但转由他人实施的工作除外；</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（3）改变合同中任何工作的质量标准或其他特性；</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（4）改变工程的基线、标高、位置和尺寸；</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（5）改变工程的时间安排或实施顺序。</w:t>
      </w:r>
    </w:p>
    <w:p>
      <w:pPr>
        <w:keepNext/>
        <w:keepLines/>
        <w:widowControl w:val="0"/>
        <w:tabs>
          <w:tab w:val="left" w:pos="1008"/>
        </w:tabs>
        <w:jc w:val="left"/>
        <w:outlineLvl w:val="4"/>
        <w:rPr>
          <w:rFonts w:ascii="宋体" w:hAnsi="宋体" w:cs="宋体"/>
          <w:kern w:val="0"/>
          <w:szCs w:val="21"/>
        </w:rPr>
      </w:pPr>
      <w:bookmarkStart w:id="313" w:name="_Toc351203569"/>
      <w:r>
        <w:rPr>
          <w:rFonts w:hint="eastAsia" w:ascii="宋体" w:hAnsi="宋体" w:cs="宋体"/>
          <w:kern w:val="0"/>
          <w:szCs w:val="21"/>
        </w:rPr>
        <w:t>1</w:t>
      </w:r>
      <w:bookmarkStart w:id="314" w:name="_Toc337558789"/>
      <w:bookmarkStart w:id="315" w:name="_Toc296346586"/>
      <w:bookmarkStart w:id="316" w:name="_Toc296503085"/>
      <w:r>
        <w:rPr>
          <w:rFonts w:hint="eastAsia" w:ascii="宋体" w:hAnsi="宋体" w:cs="宋体"/>
          <w:kern w:val="0"/>
          <w:szCs w:val="21"/>
        </w:rPr>
        <w:t>0.2变更权</w:t>
      </w:r>
      <w:bookmarkEnd w:id="313"/>
    </w:p>
    <w:bookmarkEnd w:id="314"/>
    <w:bookmarkEnd w:id="315"/>
    <w:bookmarkEnd w:id="316"/>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和监理人均可以提出变更。变更指示均通过监理人发出，监理人发出变更指示前应征得发包人同意。承包人收到经发包人签认的变更指示后，方可实施变更。未经许可，承包人不得擅自对工程的任何部分进行变更。</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涉及设计变更的，应由设计人提供变更后的图纸和说明。如变更超过原设计标准或批准的建设规模时，发包人应及时办理规划、设计变更等审批手续。</w:t>
      </w:r>
    </w:p>
    <w:p>
      <w:pPr>
        <w:keepNext/>
        <w:keepLines/>
        <w:widowControl w:val="0"/>
        <w:tabs>
          <w:tab w:val="left" w:pos="1008"/>
        </w:tabs>
        <w:jc w:val="left"/>
        <w:outlineLvl w:val="4"/>
        <w:rPr>
          <w:rFonts w:ascii="宋体" w:hAnsi="宋体" w:cs="宋体"/>
          <w:kern w:val="0"/>
          <w:szCs w:val="21"/>
        </w:rPr>
      </w:pPr>
      <w:bookmarkStart w:id="317" w:name="_Toc351203570"/>
      <w:r>
        <w:rPr>
          <w:rFonts w:hint="eastAsia" w:ascii="宋体" w:hAnsi="宋体" w:cs="宋体"/>
          <w:kern w:val="0"/>
          <w:szCs w:val="21"/>
        </w:rPr>
        <w:t>1</w:t>
      </w:r>
      <w:bookmarkStart w:id="318" w:name="_Toc337558790"/>
      <w:bookmarkStart w:id="319" w:name="_Toc296346587"/>
      <w:bookmarkStart w:id="320" w:name="_Toc296503086"/>
      <w:r>
        <w:rPr>
          <w:rFonts w:hint="eastAsia" w:ascii="宋体" w:hAnsi="宋体" w:cs="宋体"/>
          <w:kern w:val="0"/>
          <w:szCs w:val="21"/>
        </w:rPr>
        <w:t>0.3变更程序</w:t>
      </w:r>
      <w:bookmarkEnd w:id="317"/>
    </w:p>
    <w:bookmarkEnd w:id="318"/>
    <w:bookmarkEnd w:id="319"/>
    <w:bookmarkEnd w:id="320"/>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szCs w:val="21"/>
        </w:rPr>
        <w:t>10</w:t>
      </w:r>
      <w:r>
        <w:rPr>
          <w:rFonts w:hint="eastAsia" w:ascii="宋体" w:hAnsi="宋体" w:cs="宋体"/>
          <w:kern w:val="0"/>
          <w:szCs w:val="21"/>
        </w:rPr>
        <w:t>.3.1 发包人提出变更</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发包人提出变更的，应通过监理人向承包人发出变更指示，变更指示应说明计划变更的工程范围和变更的内容。</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szCs w:val="21"/>
        </w:rPr>
        <w:t>10</w:t>
      </w:r>
      <w:r>
        <w:rPr>
          <w:rFonts w:hint="eastAsia" w:ascii="宋体" w:hAnsi="宋体" w:cs="宋体"/>
          <w:kern w:val="0"/>
          <w:szCs w:val="21"/>
        </w:rPr>
        <w:t>.3.2 监理人提出变更建议</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监理人提出变更建议的，需要向发包人以书面形式提出变更计划，说明计划变更工程范围和变更的内容、理由，以及实施该变更对合同价格和工期的影响。发包人同意变更的，由监理人向承包人发出变更指示。发包人不同意变更的，监理人无权擅自发出变更指示。</w:t>
      </w:r>
    </w:p>
    <w:p>
      <w:pPr>
        <w:widowControl w:val="0"/>
        <w:autoSpaceDE w:val="0"/>
        <w:autoSpaceDN w:val="0"/>
        <w:adjustRightInd w:val="0"/>
        <w:ind w:firstLine="420" w:firstLineChars="200"/>
        <w:jc w:val="left"/>
        <w:rPr>
          <w:rFonts w:ascii="宋体" w:hAnsi="宋体" w:cs="宋体"/>
          <w:szCs w:val="21"/>
        </w:rPr>
      </w:pPr>
      <w:r>
        <w:rPr>
          <w:rFonts w:hint="eastAsia" w:ascii="宋体" w:hAnsi="宋体" w:cs="宋体"/>
          <w:szCs w:val="21"/>
        </w:rPr>
        <w:t>10.3.3 变更执行</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收到监理人下达的变更指示后，认为不能执行，应立即提出不能执行该变更指示的理由。承包人认为可以执行变更的，应当书面说明实施该变更指示对合同价格和工期的影响，且合同当事人应当按照第10.4款〔变更估价〕约定确定变更估价。</w:t>
      </w:r>
    </w:p>
    <w:p>
      <w:pPr>
        <w:keepNext/>
        <w:keepLines/>
        <w:widowControl w:val="0"/>
        <w:tabs>
          <w:tab w:val="left" w:pos="1008"/>
        </w:tabs>
        <w:jc w:val="left"/>
        <w:outlineLvl w:val="4"/>
        <w:rPr>
          <w:rFonts w:ascii="宋体" w:hAnsi="宋体" w:cs="宋体"/>
          <w:kern w:val="0"/>
          <w:szCs w:val="21"/>
        </w:rPr>
      </w:pPr>
      <w:bookmarkStart w:id="321" w:name="_Toc351203571"/>
      <w:r>
        <w:rPr>
          <w:rFonts w:hint="eastAsia" w:ascii="宋体" w:hAnsi="宋体" w:cs="宋体"/>
          <w:kern w:val="0"/>
          <w:szCs w:val="21"/>
        </w:rPr>
        <w:t>1</w:t>
      </w:r>
      <w:bookmarkStart w:id="322" w:name="_Toc296503087"/>
      <w:bookmarkStart w:id="323" w:name="_Toc337558791"/>
      <w:bookmarkStart w:id="324" w:name="_Toc296346588"/>
      <w:r>
        <w:rPr>
          <w:rFonts w:hint="eastAsia" w:ascii="宋体" w:hAnsi="宋体" w:cs="宋体"/>
          <w:kern w:val="0"/>
          <w:szCs w:val="21"/>
        </w:rPr>
        <w:t>0.4变更估价</w:t>
      </w:r>
      <w:bookmarkEnd w:id="321"/>
    </w:p>
    <w:bookmarkEnd w:id="322"/>
    <w:bookmarkEnd w:id="323"/>
    <w:bookmarkEnd w:id="324"/>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10.4.1 变更估价原则</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除专用合同条款另有约定外，变更估价按照本款约定处理：</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（1）已标价工程量清单或预算书有相同项目的，按照相同项目单价认定；</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（2）已标价工程量清单或预算书中无相同项目，但有类似项目的，参照类似项目的单价认定；</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变更导致实际完成的变更工程量与已标价工程量清单或预算书中列明的该项目工程量的变化幅度超过15%的，或已标价工程量清单或预算书中无相同项目及类似项目单价的，按照合理的成本与利润构成的原则，由合同当事人按照第4.4款〔商定或确定〕确定变更工作的单价。</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10.4.2 变更估价程序</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应在收到变更指示后14天内，向监理人提交变更估价申请。监理人应在收到承包人提交的变更估价申请后7天内审查完毕并报送发包人，监理人对变更估价申请有异议，通知承包人修改后重新提交。发包人应在承包人提交变更估价申请后14天内审批完毕。发包人逾期未完成审批或未提出异议的，视为认可承包人提交的变更估价申请。</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因变更引起的价格调整应计入最近一期的进度款中支付。</w:t>
      </w:r>
    </w:p>
    <w:p>
      <w:pPr>
        <w:keepNext/>
        <w:keepLines/>
        <w:tabs>
          <w:tab w:val="left" w:pos="1008"/>
        </w:tabs>
        <w:jc w:val="left"/>
        <w:outlineLvl w:val="4"/>
        <w:rPr>
          <w:rFonts w:ascii="宋体" w:hAnsi="宋体" w:cs="宋体"/>
          <w:kern w:val="0"/>
          <w:szCs w:val="21"/>
        </w:rPr>
      </w:pPr>
      <w:bookmarkStart w:id="325" w:name="_Toc351203572"/>
      <w:r>
        <w:rPr>
          <w:rFonts w:hint="eastAsia" w:ascii="宋体" w:hAnsi="宋体" w:cs="宋体"/>
          <w:kern w:val="0"/>
          <w:szCs w:val="21"/>
        </w:rPr>
        <w:t>1</w:t>
      </w:r>
      <w:bookmarkStart w:id="326" w:name="_Toc296503094"/>
      <w:bookmarkStart w:id="327" w:name="_Toc337558792"/>
      <w:bookmarkStart w:id="328" w:name="_Toc296346595"/>
      <w:r>
        <w:rPr>
          <w:rFonts w:hint="eastAsia" w:ascii="宋体" w:hAnsi="宋体" w:cs="宋体"/>
          <w:kern w:val="0"/>
          <w:szCs w:val="21"/>
        </w:rPr>
        <w:t>0.5承包人的合理化建议</w:t>
      </w:r>
      <w:bookmarkEnd w:id="325"/>
    </w:p>
    <w:bookmarkEnd w:id="326"/>
    <w:bookmarkEnd w:id="327"/>
    <w:bookmarkEnd w:id="328"/>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承包人提出合理化建议的，应向监理人提交合理化建议说明，说明建议的内容和理由，以及实施该建议对合同价格和工期的影响。</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专用合同条款另有约定外，监理人应在收到承包人提交的合理化建议后7天内审查完毕并报送发包人，发现其中存在技术上的缺陷，应通知承包人修改。发包人应在收到监理人报送的合理化建议后7天内审批完毕。合理化建议经发包人批准的，监理人应及时发出变更指示，由此引起的合同价格调整按照第10.4款〔变更估价〕约定执行。发包人不同意变更的，监理人应书面通知承包人。</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合理化建议降低了合同价格或者提高了工程经济效益的，发包人可对承包人给予奖励，奖励的方法和金额在专用合同条款中约定。</w:t>
      </w:r>
    </w:p>
    <w:p>
      <w:pPr>
        <w:keepNext/>
        <w:keepLines/>
        <w:tabs>
          <w:tab w:val="left" w:pos="1008"/>
        </w:tabs>
        <w:jc w:val="left"/>
        <w:outlineLvl w:val="4"/>
        <w:rPr>
          <w:rFonts w:ascii="宋体" w:hAnsi="宋体" w:cs="宋体"/>
          <w:b/>
          <w:kern w:val="0"/>
          <w:szCs w:val="21"/>
        </w:rPr>
      </w:pPr>
      <w:bookmarkStart w:id="329" w:name="_Toc351203573"/>
      <w:r>
        <w:rPr>
          <w:rFonts w:hint="eastAsia" w:ascii="宋体" w:hAnsi="宋体" w:cs="宋体"/>
          <w:kern w:val="0"/>
          <w:szCs w:val="21"/>
        </w:rPr>
        <w:t>1</w:t>
      </w:r>
      <w:bookmarkStart w:id="330" w:name="_Toc337558793"/>
      <w:r>
        <w:rPr>
          <w:rFonts w:hint="eastAsia" w:ascii="宋体" w:hAnsi="宋体" w:cs="宋体"/>
          <w:kern w:val="0"/>
          <w:szCs w:val="21"/>
        </w:rPr>
        <w:t>0.6变更引起的工期调整</w:t>
      </w:r>
      <w:bookmarkEnd w:id="329"/>
      <w:bookmarkEnd w:id="330"/>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因变更引起工期变化的，合同当事人均可要求调整合同工期，由合同当事人按照第4.4款〔商定或确定〕并参考工程所在地的工期定额标准确定增减工期天数。</w:t>
      </w:r>
    </w:p>
    <w:p>
      <w:pPr>
        <w:keepNext/>
        <w:keepLines/>
        <w:tabs>
          <w:tab w:val="left" w:pos="1008"/>
        </w:tabs>
        <w:jc w:val="left"/>
        <w:outlineLvl w:val="4"/>
        <w:rPr>
          <w:rFonts w:ascii="宋体" w:hAnsi="宋体" w:cs="宋体"/>
          <w:kern w:val="0"/>
          <w:szCs w:val="21"/>
        </w:rPr>
      </w:pPr>
      <w:bookmarkStart w:id="331" w:name="_Toc351203574"/>
      <w:r>
        <w:rPr>
          <w:rFonts w:hint="eastAsia" w:ascii="宋体" w:hAnsi="宋体" w:cs="宋体"/>
          <w:kern w:val="0"/>
          <w:szCs w:val="21"/>
        </w:rPr>
        <w:t>10.7暂估价</w:t>
      </w:r>
      <w:bookmarkEnd w:id="331"/>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暂估价专业分包工程、服务、材料和工程设备的明细由合同当事人在专用合同条款中约定。</w:t>
      </w:r>
    </w:p>
    <w:p>
      <w:pPr>
        <w:ind w:firstLine="420" w:firstLineChars="200"/>
        <w:jc w:val="left"/>
        <w:rPr>
          <w:rFonts w:ascii="宋体" w:hAnsi="宋体" w:cs="宋体"/>
          <w:kern w:val="0"/>
          <w:szCs w:val="21"/>
        </w:rPr>
      </w:pPr>
      <w:r>
        <w:rPr>
          <w:rFonts w:hint="eastAsia" w:ascii="宋体" w:hAnsi="宋体" w:cs="宋体"/>
          <w:szCs w:val="21"/>
        </w:rPr>
        <w:t>10.7.1</w:t>
      </w:r>
      <w:r>
        <w:rPr>
          <w:rFonts w:hint="eastAsia" w:ascii="宋体" w:hAnsi="宋体" w:cs="宋体"/>
          <w:kern w:val="0"/>
          <w:szCs w:val="21"/>
        </w:rPr>
        <w:t>依法必须招标的暂估价项目</w:t>
      </w:r>
    </w:p>
    <w:p>
      <w:pPr>
        <w:ind w:firstLine="420" w:firstLineChars="200"/>
        <w:jc w:val="left"/>
        <w:rPr>
          <w:rFonts w:ascii="宋体" w:hAnsi="宋体" w:cs="宋体"/>
          <w:kern w:val="0"/>
          <w:szCs w:val="21"/>
        </w:rPr>
      </w:pPr>
      <w:r>
        <w:rPr>
          <w:rFonts w:hint="eastAsia" w:ascii="宋体" w:hAnsi="宋体" w:cs="宋体"/>
          <w:kern w:val="0"/>
          <w:szCs w:val="21"/>
        </w:rPr>
        <w:t>对于依法必须招标的暂估价项目，采取以下第1种方式确定。合同当事人也可以在专用合同条款中选择其他招标方式。</w:t>
      </w:r>
    </w:p>
    <w:p>
      <w:pPr>
        <w:ind w:firstLine="420" w:firstLineChars="200"/>
        <w:jc w:val="left"/>
        <w:rPr>
          <w:rFonts w:ascii="宋体" w:hAnsi="宋体" w:cs="宋体"/>
          <w:kern w:val="0"/>
          <w:szCs w:val="21"/>
        </w:rPr>
      </w:pPr>
      <w:r>
        <w:rPr>
          <w:rFonts w:hint="eastAsia" w:ascii="宋体" w:hAnsi="宋体" w:cs="宋体"/>
          <w:kern w:val="0"/>
          <w:szCs w:val="21"/>
        </w:rPr>
        <w:t>第1种方式：对于依法必须招标的暂估价项目，由承包人招标，对该暂估价项目的确认和批准按照以下约定执行：</w:t>
      </w:r>
    </w:p>
    <w:p>
      <w:pPr>
        <w:ind w:firstLine="420" w:firstLineChars="200"/>
        <w:jc w:val="left"/>
        <w:rPr>
          <w:rFonts w:ascii="宋体" w:hAnsi="宋体" w:cs="宋体"/>
          <w:kern w:val="0"/>
          <w:szCs w:val="21"/>
        </w:rPr>
      </w:pPr>
      <w:r>
        <w:rPr>
          <w:rFonts w:hint="eastAsia" w:ascii="宋体" w:hAnsi="宋体" w:cs="宋体"/>
          <w:kern w:val="0"/>
          <w:szCs w:val="21"/>
        </w:rPr>
        <w:t>（1）承包人应当根据施工进度计划，在招标工作启动前14天将招标方案通过监理人报送发包人审查，发包人应当在收到承包人报送的招标方案后7天内批准或提出修改意见。承包人应当按照经过发包人批准的招标方案开展招标工作；</w:t>
      </w:r>
    </w:p>
    <w:p>
      <w:pPr>
        <w:ind w:firstLine="420" w:firstLineChars="200"/>
        <w:jc w:val="left"/>
        <w:rPr>
          <w:rFonts w:ascii="宋体" w:hAnsi="宋体" w:cs="宋体"/>
          <w:kern w:val="0"/>
          <w:szCs w:val="21"/>
        </w:rPr>
      </w:pPr>
      <w:r>
        <w:rPr>
          <w:rFonts w:hint="eastAsia" w:ascii="宋体" w:hAnsi="宋体" w:cs="宋体"/>
          <w:kern w:val="0"/>
          <w:szCs w:val="21"/>
        </w:rPr>
        <w:t>（2）承包人应当根据施工进度计划，提前14天将招标文件通过监理人报送发包人审批，发包人应当在收到承包人报送的相关文件后7天内完成审批或提出修改意见；发包人有权确定招标控制价并按照法律规定参加评标；</w:t>
      </w:r>
    </w:p>
    <w:p>
      <w:pPr>
        <w:jc w:val="left"/>
        <w:rPr>
          <w:rFonts w:ascii="宋体" w:hAnsi="宋体" w:cs="宋体"/>
          <w:kern w:val="0"/>
          <w:szCs w:val="21"/>
        </w:rPr>
      </w:pPr>
      <w:r>
        <w:rPr>
          <w:rFonts w:hint="eastAsia" w:ascii="宋体" w:hAnsi="宋体" w:cs="宋体"/>
          <w:kern w:val="0"/>
          <w:szCs w:val="21"/>
        </w:rPr>
        <w:t>（3）承包人与供应商、分包人在签订暂估价合同前，应当提前7天将确定的中标候选供应商或中标候选分包人的资料报送发包人，发包人应在收到资料后3天内与承包人共同确定中标人；承包人应当在签订合同后7天内，将暂估价合同副本报送发包人留存。</w:t>
      </w:r>
    </w:p>
    <w:p>
      <w:pPr>
        <w:ind w:firstLine="420" w:firstLineChars="200"/>
        <w:jc w:val="left"/>
        <w:rPr>
          <w:rFonts w:ascii="宋体" w:hAnsi="宋体" w:cs="宋体"/>
          <w:kern w:val="0"/>
          <w:szCs w:val="21"/>
        </w:rPr>
      </w:pPr>
      <w:r>
        <w:rPr>
          <w:rFonts w:hint="eastAsia" w:ascii="宋体" w:hAnsi="宋体" w:cs="宋体"/>
          <w:kern w:val="0"/>
          <w:szCs w:val="21"/>
        </w:rPr>
        <w:t>第2种方式：对于依法必须招标的暂估价项目，由发包人和承包人共同招标确定暂估价供应商或分包人的，承包人应按照施工进度计划，在招标工作启动前14天通知发包人，并提交暂估价招标方案和工作分工。发包人应在收到后7天内确认。确定中标人后，由发包人、承包人与中标人共同签订暂估价合同。</w:t>
      </w:r>
    </w:p>
    <w:p>
      <w:pPr>
        <w:ind w:firstLine="420" w:firstLineChars="200"/>
        <w:jc w:val="left"/>
        <w:rPr>
          <w:rFonts w:ascii="宋体" w:hAnsi="宋体" w:cs="宋体"/>
          <w:kern w:val="0"/>
          <w:szCs w:val="21"/>
        </w:rPr>
      </w:pPr>
      <w:r>
        <w:rPr>
          <w:rFonts w:hint="eastAsia" w:ascii="宋体" w:hAnsi="宋体" w:cs="宋体"/>
          <w:szCs w:val="21"/>
        </w:rPr>
        <w:t>10.7.2</w:t>
      </w:r>
      <w:r>
        <w:rPr>
          <w:rFonts w:hint="eastAsia" w:ascii="宋体" w:hAnsi="宋体" w:cs="宋体"/>
          <w:kern w:val="0"/>
          <w:szCs w:val="21"/>
        </w:rPr>
        <w:t>不属于依法必须招标的暂估价项目</w:t>
      </w:r>
    </w:p>
    <w:p>
      <w:pPr>
        <w:ind w:firstLine="420" w:firstLineChars="200"/>
        <w:jc w:val="left"/>
        <w:rPr>
          <w:rFonts w:ascii="宋体" w:hAnsi="宋体" w:cs="宋体"/>
          <w:kern w:val="0"/>
          <w:szCs w:val="21"/>
        </w:rPr>
      </w:pPr>
      <w:r>
        <w:rPr>
          <w:rFonts w:hint="eastAsia" w:ascii="宋体" w:hAnsi="宋体" w:cs="宋体"/>
          <w:kern w:val="0"/>
          <w:szCs w:val="21"/>
        </w:rPr>
        <w:t>除专用合同条款另有约定外，对于不属于依法必须招标的暂估价项目，采取以下第1种方式确定：</w:t>
      </w:r>
    </w:p>
    <w:p>
      <w:pPr>
        <w:ind w:firstLine="420" w:firstLineChars="200"/>
        <w:jc w:val="left"/>
        <w:rPr>
          <w:rFonts w:ascii="宋体" w:hAnsi="宋体" w:cs="宋体"/>
          <w:kern w:val="0"/>
          <w:szCs w:val="21"/>
        </w:rPr>
      </w:pPr>
      <w:r>
        <w:rPr>
          <w:rFonts w:hint="eastAsia" w:ascii="宋体" w:hAnsi="宋体" w:cs="宋体"/>
          <w:kern w:val="0"/>
          <w:szCs w:val="21"/>
        </w:rPr>
        <w:t>第1种方式：对于不属于依法必须招标的暂估价项目，按本项约定确认和批准：</w:t>
      </w:r>
    </w:p>
    <w:p>
      <w:pPr>
        <w:ind w:firstLine="420" w:firstLineChars="200"/>
        <w:jc w:val="left"/>
        <w:rPr>
          <w:rFonts w:ascii="宋体" w:hAnsi="宋体" w:cs="宋体"/>
          <w:kern w:val="0"/>
          <w:szCs w:val="21"/>
        </w:rPr>
      </w:pPr>
      <w:r>
        <w:rPr>
          <w:rFonts w:hint="eastAsia" w:ascii="宋体" w:hAnsi="宋体" w:cs="宋体"/>
          <w:kern w:val="0"/>
          <w:szCs w:val="21"/>
        </w:rPr>
        <w:t>（1）承包人应根据施工进度计划，在签订暂估价项目的采购合同、分包合同前28天向监理人提出书面申请。监理人应当在收到申请后3天内报送发包人，发包人应当在收到申请后14天内给予批准或提出修改意见，发包人逾期未予批准或提出修改意见的，视为该书面申请已获得同意；</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kern w:val="0"/>
          <w:szCs w:val="21"/>
        </w:rPr>
      </w:pPr>
      <w:r>
        <w:rPr>
          <w:rFonts w:hint="eastAsia" w:ascii="宋体" w:hAnsi="宋体" w:cs="宋体"/>
          <w:kern w:val="0"/>
          <w:szCs w:val="21"/>
        </w:rPr>
        <w:t>（2）发包人认为承包人确定的供应商、分包人无法满足工程质量或合同要求的，发包人可以要求承包人重新确定暂估价项目的供应商、分包人;</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kern w:val="0"/>
          <w:szCs w:val="21"/>
        </w:rPr>
      </w:pPr>
      <w:r>
        <w:rPr>
          <w:rFonts w:hint="eastAsia" w:ascii="宋体" w:hAnsi="宋体" w:cs="宋体"/>
          <w:kern w:val="0"/>
          <w:szCs w:val="21"/>
        </w:rPr>
        <w:t>（3）承包人应当在签订暂估价合同后7天内，将暂估价合同副本报送发包人留存。</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kern w:val="0"/>
          <w:szCs w:val="21"/>
        </w:rPr>
      </w:pPr>
      <w:r>
        <w:rPr>
          <w:rFonts w:hint="eastAsia" w:ascii="宋体" w:hAnsi="宋体" w:cs="宋体"/>
          <w:kern w:val="0"/>
          <w:szCs w:val="21"/>
        </w:rPr>
        <w:t>第2种方式：承包人按照第10.7.1项〔依法必须招标的暂估价项目〕约定的第1种方式确定暂估价项目。</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kern w:val="0"/>
          <w:szCs w:val="21"/>
        </w:rPr>
      </w:pPr>
      <w:r>
        <w:rPr>
          <w:rFonts w:hint="eastAsia" w:ascii="宋体" w:hAnsi="宋体" w:cs="宋体"/>
          <w:szCs w:val="21"/>
        </w:rPr>
        <w:t>第3种方式：</w:t>
      </w:r>
      <w:r>
        <w:rPr>
          <w:rFonts w:hint="eastAsia" w:ascii="宋体" w:hAnsi="宋体" w:cs="宋体"/>
          <w:kern w:val="0"/>
          <w:szCs w:val="21"/>
        </w:rPr>
        <w:t>承包人直接实施的暂估价项目</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kern w:val="0"/>
          <w:szCs w:val="21"/>
        </w:rPr>
      </w:pPr>
      <w:r>
        <w:rPr>
          <w:rFonts w:hint="eastAsia" w:ascii="宋体" w:hAnsi="宋体" w:cs="宋体"/>
          <w:kern w:val="0"/>
          <w:szCs w:val="21"/>
        </w:rPr>
        <w:t>承包人具备实施暂估价项目的资格和条件的，经发包人和承包人协商一致后，可由承包人自行实施暂估价项目，合同当事人可以在专用合同条款约定具体事项。</w:t>
      </w:r>
    </w:p>
    <w:p>
      <w:pPr>
        <w:ind w:firstLine="420" w:firstLineChars="200"/>
        <w:jc w:val="left"/>
        <w:rPr>
          <w:rFonts w:ascii="宋体" w:hAnsi="宋体" w:cs="宋体"/>
          <w:kern w:val="0"/>
          <w:szCs w:val="21"/>
        </w:rPr>
      </w:pPr>
      <w:r>
        <w:rPr>
          <w:rFonts w:hint="eastAsia" w:ascii="宋体" w:hAnsi="宋体" w:cs="宋体"/>
          <w:kern w:val="0"/>
          <w:szCs w:val="21"/>
        </w:rPr>
        <w:t>10.7.3 因发包人原因导致暂估价合同订立和履行迟延的，由此增加的费用和（或）延误的工期由发包人承担，并支付承包人合理的利润。因承包人原因导致暂估价合同订立和履行迟延的，由此增加的费用和（或）延误的工期由承包人承担。</w:t>
      </w:r>
    </w:p>
    <w:p>
      <w:pPr>
        <w:keepNext/>
        <w:keepLines/>
        <w:tabs>
          <w:tab w:val="left" w:pos="1008"/>
        </w:tabs>
        <w:jc w:val="left"/>
        <w:outlineLvl w:val="4"/>
        <w:rPr>
          <w:rFonts w:ascii="宋体" w:hAnsi="宋体" w:cs="宋体"/>
          <w:kern w:val="0"/>
          <w:szCs w:val="21"/>
        </w:rPr>
      </w:pPr>
      <w:bookmarkStart w:id="332" w:name="_Toc351203575"/>
      <w:r>
        <w:rPr>
          <w:rFonts w:hint="eastAsia" w:ascii="宋体" w:hAnsi="宋体" w:cs="宋体"/>
          <w:kern w:val="0"/>
          <w:szCs w:val="21"/>
        </w:rPr>
        <w:t>1</w:t>
      </w:r>
      <w:bookmarkStart w:id="333" w:name="_Toc337558794"/>
      <w:bookmarkStart w:id="334" w:name="_Toc296503090"/>
      <w:bookmarkStart w:id="335" w:name="_Toc296346591"/>
      <w:bookmarkStart w:id="336" w:name="_Toc322522561"/>
      <w:r>
        <w:rPr>
          <w:rFonts w:hint="eastAsia" w:ascii="宋体" w:hAnsi="宋体" w:cs="宋体"/>
          <w:kern w:val="0"/>
          <w:szCs w:val="21"/>
        </w:rPr>
        <w:t>0.8暂列金额</w:t>
      </w:r>
      <w:bookmarkEnd w:id="332"/>
    </w:p>
    <w:bookmarkEnd w:id="333"/>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暂列金额应按照发包人的要求使用，发包人的要求应通过监理人发出。合同当事人可以在专用合同条款中协商确定有关事项。</w:t>
      </w:r>
    </w:p>
    <w:bookmarkEnd w:id="334"/>
    <w:bookmarkEnd w:id="335"/>
    <w:bookmarkEnd w:id="336"/>
    <w:p>
      <w:pPr>
        <w:keepNext/>
        <w:keepLines/>
        <w:tabs>
          <w:tab w:val="left" w:pos="1008"/>
        </w:tabs>
        <w:jc w:val="left"/>
        <w:outlineLvl w:val="4"/>
        <w:rPr>
          <w:rFonts w:ascii="宋体" w:hAnsi="宋体" w:cs="宋体"/>
          <w:kern w:val="0"/>
          <w:szCs w:val="21"/>
        </w:rPr>
      </w:pPr>
      <w:bookmarkStart w:id="337" w:name="_Toc351203576"/>
      <w:r>
        <w:rPr>
          <w:rFonts w:hint="eastAsia" w:ascii="宋体" w:hAnsi="宋体" w:cs="宋体"/>
          <w:kern w:val="0"/>
          <w:szCs w:val="21"/>
        </w:rPr>
        <w:t>1</w:t>
      </w:r>
      <w:bookmarkStart w:id="338" w:name="_Toc337558796"/>
      <w:bookmarkStart w:id="339" w:name="_Toc296503091"/>
      <w:bookmarkStart w:id="340" w:name="_Toc296346592"/>
      <w:r>
        <w:rPr>
          <w:rFonts w:hint="eastAsia" w:ascii="宋体" w:hAnsi="宋体" w:cs="宋体"/>
          <w:kern w:val="0"/>
          <w:szCs w:val="21"/>
        </w:rPr>
        <w:t>0.9计日工</w:t>
      </w:r>
      <w:bookmarkEnd w:id="337"/>
      <w:bookmarkEnd w:id="338"/>
      <w:bookmarkEnd w:id="339"/>
      <w:bookmarkEnd w:id="340"/>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需要采用计日工方式的，经发包人同意后，由监理人通知承包人以计日工计价方式实施相应的工作，其价款按列入已标价工程量清单或预算书中的计日工计价项目及其单价进行计算；已标价工程量清单或预算书中无相应的计日工单价的，按照合理的成本与利润构成的原则，由合同当事人按照第4.4款〔商定或确定〕确定计日工的单价。</w:t>
      </w:r>
    </w:p>
    <w:p>
      <w:pPr>
        <w:ind w:firstLine="420" w:firstLineChars="200"/>
        <w:jc w:val="left"/>
        <w:rPr>
          <w:rFonts w:ascii="宋体" w:hAnsi="宋体" w:cs="宋体"/>
          <w:kern w:val="0"/>
          <w:szCs w:val="21"/>
        </w:rPr>
      </w:pPr>
      <w:r>
        <w:rPr>
          <w:rFonts w:hint="eastAsia" w:ascii="宋体" w:hAnsi="宋体" w:cs="宋体"/>
          <w:kern w:val="0"/>
          <w:szCs w:val="21"/>
        </w:rPr>
        <w:t>采用计日工计价的任何一项工作，承包人应在该项工作实施过程中，每天提交以下报表和有关凭证报送监理人审查：</w:t>
      </w:r>
    </w:p>
    <w:p>
      <w:pPr>
        <w:ind w:firstLine="315" w:firstLineChars="150"/>
        <w:jc w:val="left"/>
        <w:rPr>
          <w:rFonts w:ascii="宋体" w:hAnsi="宋体" w:cs="宋体"/>
          <w:kern w:val="0"/>
          <w:szCs w:val="21"/>
        </w:rPr>
      </w:pPr>
      <w:r>
        <w:rPr>
          <w:rFonts w:hint="eastAsia" w:ascii="宋体" w:hAnsi="宋体" w:cs="宋体"/>
          <w:kern w:val="0"/>
          <w:szCs w:val="21"/>
        </w:rPr>
        <w:t>（1）工作名称、内容和数量；</w:t>
      </w:r>
    </w:p>
    <w:p>
      <w:pPr>
        <w:ind w:firstLine="315" w:firstLineChars="150"/>
        <w:jc w:val="left"/>
        <w:rPr>
          <w:rFonts w:ascii="宋体" w:hAnsi="宋体" w:cs="宋体"/>
          <w:kern w:val="0"/>
          <w:szCs w:val="21"/>
        </w:rPr>
      </w:pPr>
      <w:r>
        <w:rPr>
          <w:rFonts w:hint="eastAsia" w:ascii="宋体" w:hAnsi="宋体" w:cs="宋体"/>
          <w:kern w:val="0"/>
          <w:szCs w:val="21"/>
        </w:rPr>
        <w:t>（2）投入该工作的所有人员的姓名、专业、工种、级别和耗用工时；</w:t>
      </w:r>
    </w:p>
    <w:p>
      <w:pPr>
        <w:ind w:firstLine="315" w:firstLineChars="150"/>
        <w:jc w:val="left"/>
        <w:rPr>
          <w:rFonts w:ascii="宋体" w:hAnsi="宋体" w:cs="宋体"/>
          <w:kern w:val="0"/>
          <w:szCs w:val="21"/>
        </w:rPr>
      </w:pPr>
      <w:r>
        <w:rPr>
          <w:rFonts w:hint="eastAsia" w:ascii="宋体" w:hAnsi="宋体" w:cs="宋体"/>
          <w:kern w:val="0"/>
          <w:szCs w:val="21"/>
        </w:rPr>
        <w:t>（3）投入该工作的材料类别和数量；</w:t>
      </w:r>
    </w:p>
    <w:p>
      <w:pPr>
        <w:ind w:firstLine="315" w:firstLineChars="150"/>
        <w:jc w:val="left"/>
        <w:rPr>
          <w:rFonts w:ascii="宋体" w:hAnsi="宋体" w:cs="宋体"/>
          <w:kern w:val="0"/>
          <w:szCs w:val="21"/>
        </w:rPr>
      </w:pPr>
      <w:r>
        <w:rPr>
          <w:rFonts w:hint="eastAsia" w:ascii="宋体" w:hAnsi="宋体" w:cs="宋体"/>
          <w:kern w:val="0"/>
          <w:szCs w:val="21"/>
        </w:rPr>
        <w:t>（4）投入该工作的施工设备型号、台数和耗用台时；</w:t>
      </w:r>
    </w:p>
    <w:p>
      <w:pPr>
        <w:ind w:firstLine="315" w:firstLineChars="150"/>
        <w:jc w:val="left"/>
        <w:rPr>
          <w:rFonts w:ascii="宋体" w:hAnsi="宋体" w:cs="宋体"/>
          <w:kern w:val="0"/>
          <w:szCs w:val="21"/>
        </w:rPr>
      </w:pPr>
      <w:r>
        <w:rPr>
          <w:rFonts w:hint="eastAsia" w:ascii="宋体" w:hAnsi="宋体" w:cs="宋体"/>
          <w:kern w:val="0"/>
          <w:szCs w:val="21"/>
        </w:rPr>
        <w:t>（5）其他有关资料和凭证。</w:t>
      </w:r>
    </w:p>
    <w:p>
      <w:pPr>
        <w:widowControl w:val="0"/>
        <w:ind w:firstLine="315" w:firstLineChars="150"/>
        <w:jc w:val="left"/>
        <w:rPr>
          <w:rFonts w:ascii="宋体" w:hAnsi="宋体" w:cs="宋体"/>
          <w:kern w:val="0"/>
          <w:szCs w:val="21"/>
        </w:rPr>
      </w:pPr>
      <w:r>
        <w:rPr>
          <w:rFonts w:hint="eastAsia" w:ascii="宋体" w:hAnsi="宋体" w:cs="宋体"/>
          <w:kern w:val="0"/>
          <w:szCs w:val="21"/>
        </w:rPr>
        <w:t>计日工由承包人汇总后，列入最近一期进度付款申请单，由监理人审查并经发包人批准后列入进度付款。</w:t>
      </w:r>
    </w:p>
    <w:p>
      <w:pPr>
        <w:widowControl w:val="0"/>
        <w:tabs>
          <w:tab w:val="left" w:pos="864"/>
        </w:tabs>
        <w:jc w:val="left"/>
        <w:outlineLvl w:val="3"/>
        <w:rPr>
          <w:rFonts w:ascii="宋体" w:hAnsi="宋体" w:cs="宋体"/>
          <w:kern w:val="0"/>
          <w:szCs w:val="21"/>
        </w:rPr>
      </w:pPr>
      <w:bookmarkStart w:id="341" w:name="_Toc351203577"/>
      <w:r>
        <w:rPr>
          <w:rFonts w:hint="eastAsia" w:ascii="宋体" w:hAnsi="宋体" w:cs="宋体"/>
          <w:kern w:val="0"/>
          <w:szCs w:val="21"/>
        </w:rPr>
        <w:t>11. 价格调整</w:t>
      </w:r>
      <w:bookmarkEnd w:id="341"/>
    </w:p>
    <w:p>
      <w:pPr>
        <w:widowControl w:val="0"/>
        <w:tabs>
          <w:tab w:val="left" w:pos="1008"/>
        </w:tabs>
        <w:jc w:val="left"/>
        <w:outlineLvl w:val="4"/>
        <w:rPr>
          <w:rFonts w:ascii="宋体" w:hAnsi="宋体" w:cs="宋体"/>
          <w:kern w:val="0"/>
          <w:szCs w:val="21"/>
        </w:rPr>
      </w:pPr>
      <w:bookmarkStart w:id="342" w:name="_Toc351203578"/>
      <w:bookmarkStart w:id="343" w:name="_Toc337558797"/>
      <w:bookmarkStart w:id="344" w:name="_Toc296346593"/>
      <w:bookmarkStart w:id="345" w:name="_Toc296503092"/>
      <w:r>
        <w:rPr>
          <w:rFonts w:hint="eastAsia" w:ascii="宋体" w:hAnsi="宋体" w:cs="宋体"/>
          <w:kern w:val="0"/>
          <w:szCs w:val="21"/>
        </w:rPr>
        <w:t>11.1市场价格波动引起的调整</w:t>
      </w:r>
      <w:bookmarkEnd w:id="342"/>
    </w:p>
    <w:bookmarkEnd w:id="343"/>
    <w:bookmarkEnd w:id="344"/>
    <w:bookmarkEnd w:id="345"/>
    <w:p>
      <w:pPr>
        <w:ind w:firstLine="420" w:firstLineChars="200"/>
        <w:jc w:val="left"/>
        <w:rPr>
          <w:rFonts w:ascii="宋体" w:hAnsi="宋体" w:cs="宋体"/>
          <w:kern w:val="0"/>
          <w:szCs w:val="21"/>
        </w:rPr>
      </w:pPr>
      <w:r>
        <w:rPr>
          <w:rFonts w:hint="eastAsia" w:ascii="宋体" w:hAnsi="宋体" w:cs="宋体"/>
          <w:kern w:val="0"/>
          <w:szCs w:val="21"/>
        </w:rPr>
        <w:t>除专用合同条款另有约定外，市场价格波动超过合同当事人约定的范围，合同价格应当调整。合同当事人可以在专用合同条款中约定选择以下一种方式对合同价格进行调整：</w:t>
      </w:r>
    </w:p>
    <w:p>
      <w:pPr>
        <w:ind w:firstLine="420" w:firstLineChars="200"/>
        <w:rPr>
          <w:rFonts w:ascii="宋体" w:hAnsi="宋体" w:cs="宋体"/>
          <w:szCs w:val="21"/>
        </w:rPr>
      </w:pPr>
      <w:r>
        <w:rPr>
          <w:rFonts w:hint="eastAsia" w:ascii="宋体" w:hAnsi="宋体" w:cs="宋体"/>
          <w:szCs w:val="21"/>
        </w:rPr>
        <w:t>第1种方式：采用价格指数进行价格调整。</w:t>
      </w:r>
    </w:p>
    <w:p>
      <w:pPr>
        <w:tabs>
          <w:tab w:val="left" w:pos="0"/>
          <w:tab w:val="left" w:pos="360"/>
          <w:tab w:val="left" w:pos="540"/>
        </w:tabs>
        <w:ind w:firstLine="420" w:firstLineChars="200"/>
        <w:rPr>
          <w:rFonts w:ascii="宋体" w:hAnsi="宋体" w:cs="宋体"/>
          <w:szCs w:val="21"/>
        </w:rPr>
      </w:pPr>
      <w:r>
        <w:rPr>
          <w:rFonts w:hint="eastAsia" w:ascii="宋体" w:hAnsi="宋体" w:cs="宋体"/>
          <w:szCs w:val="21"/>
        </w:rPr>
        <w:t>（1）价格调整公式</w:t>
      </w:r>
    </w:p>
    <w:p>
      <w:pPr>
        <w:tabs>
          <w:tab w:val="left" w:pos="0"/>
          <w:tab w:val="left" w:pos="360"/>
          <w:tab w:val="left" w:pos="540"/>
        </w:tabs>
        <w:ind w:firstLine="420" w:firstLineChars="200"/>
        <w:rPr>
          <w:rFonts w:ascii="宋体" w:hAnsi="宋体" w:cs="宋体"/>
          <w:szCs w:val="21"/>
        </w:rPr>
      </w:pPr>
      <w:r>
        <w:rPr>
          <w:rFonts w:hint="eastAsia" w:ascii="宋体" w:hAnsi="宋体" w:cs="宋体"/>
          <w:szCs w:val="21"/>
        </w:rPr>
        <w:t>因人工、材料和设备等价格波动影响合同价格时，根据专用合同条款中约定的数据，按以下公式计算差额并调整合同价格：</w:t>
      </w:r>
    </w:p>
    <w:p>
      <w:pPr>
        <w:tabs>
          <w:tab w:val="left" w:pos="0"/>
          <w:tab w:val="left" w:pos="360"/>
          <w:tab w:val="left" w:pos="540"/>
        </w:tabs>
        <w:ind w:firstLine="420" w:firstLineChars="200"/>
        <w:rPr>
          <w:rFonts w:ascii="宋体" w:hAnsi="宋体" w:cs="宋体"/>
          <w:szCs w:val="21"/>
        </w:rPr>
      </w:pPr>
      <w:r>
        <w:rPr>
          <w:rFonts w:hint="eastAsia" w:ascii="宋体" w:hAnsi="宋体" w:cs="宋体"/>
          <w:position w:val="-30"/>
          <w:szCs w:val="21"/>
        </w:rPr>
        <w:object>
          <v:shape id="_x0000_i1025" o:spt="75" type="#_x0000_t75" style="height:44.3pt;width:360pt;" o:ole="t" filled="f" o:preferrelative="t" stroked="f" coordsize="21600,21600">
            <v:path/>
            <v:fill on="f" focussize="0,0"/>
            <v:stroke on="f" joinstyle="miter"/>
            <v:imagedata r:id="rId22" embosscolor="#FFFFFF" o:title=""/>
            <o:lock v:ext="edit" aspectratio="t"/>
            <w10:wrap type="none"/>
            <w10:anchorlock/>
          </v:shape>
          <o:OLEObject Type="Embed" ProgID="Equation.3" ShapeID="_x0000_i1025" DrawAspect="Content" ObjectID="_1468075725" r:id="rId21">
            <o:LockedField>false</o:LockedField>
          </o:OLEObject>
        </w:object>
      </w:r>
    </w:p>
    <w:p>
      <w:pPr>
        <w:tabs>
          <w:tab w:val="left" w:pos="0"/>
          <w:tab w:val="left" w:pos="360"/>
          <w:tab w:val="left" w:pos="540"/>
        </w:tabs>
        <w:ind w:firstLine="640"/>
        <w:rPr>
          <w:rFonts w:ascii="宋体" w:hAnsi="宋体" w:cs="宋体"/>
          <w:szCs w:val="21"/>
        </w:rPr>
      </w:pPr>
      <w:r>
        <w:rPr>
          <w:rFonts w:hint="eastAsia" w:ascii="宋体" w:hAnsi="宋体" w:cs="宋体"/>
          <w:szCs w:val="21"/>
        </w:rPr>
        <w:t>公式中：ΔP——需调整的价格差额；</w:t>
      </w:r>
    </w:p>
    <w:p>
      <w:pPr>
        <w:tabs>
          <w:tab w:val="left" w:pos="0"/>
          <w:tab w:val="left" w:pos="360"/>
          <w:tab w:val="left" w:pos="540"/>
        </w:tabs>
        <w:ind w:firstLine="1260" w:firstLineChars="600"/>
        <w:rPr>
          <w:rFonts w:ascii="宋体" w:hAnsi="宋体" w:cs="宋体"/>
          <w:szCs w:val="21"/>
        </w:rPr>
      </w:pPr>
      <w:r>
        <w:rPr>
          <w:rFonts w:hint="eastAsia" w:ascii="宋体" w:hAnsi="宋体" w:cs="宋体"/>
          <w:position w:val="-6"/>
          <w:szCs w:val="21"/>
        </w:rPr>
        <w:object>
          <v:shape id="_x0000_i1026" o:spt="75" type="#_x0000_t75" style="height:17.1pt;width:17.1pt;" o:ole="t" filled="f" o:preferrelative="t" stroked="f" coordsize="21600,21600">
            <v:path/>
            <v:fill on="f" focussize="0,0"/>
            <v:stroke on="f" joinstyle="miter"/>
            <v:imagedata r:id="rId24" embosscolor="#FFFFFF" o:title=""/>
            <o:lock v:ext="edit" aspectratio="t"/>
            <w10:wrap type="none"/>
            <w10:anchorlock/>
          </v:shape>
          <o:OLEObject Type="Embed" ProgID="Equation.3" ShapeID="_x0000_i1026" DrawAspect="Content" ObjectID="_1468075726" r:id="rId23">
            <o:LockedField>false</o:LockedField>
          </o:OLEObject>
        </w:object>
      </w:r>
      <w:r>
        <w:rPr>
          <w:rFonts w:hint="eastAsia" w:ascii="宋体" w:hAnsi="宋体" w:cs="宋体"/>
          <w:szCs w:val="21"/>
        </w:rPr>
        <w:t>——约定的付款证书中承包人应得到的已完成工程量的金额。此项金额应不包括价格调整、不计质量保证金的扣留和支付、预付款的支付和扣回。约定的变更及其他金额已按现行价格计价的，也不计在内；</w:t>
      </w:r>
    </w:p>
    <w:p>
      <w:pPr>
        <w:tabs>
          <w:tab w:val="left" w:pos="0"/>
          <w:tab w:val="left" w:pos="360"/>
          <w:tab w:val="left" w:pos="540"/>
        </w:tabs>
        <w:ind w:firstLine="420" w:firstLineChars="200"/>
        <w:rPr>
          <w:rFonts w:ascii="宋体" w:hAnsi="宋体" w:cs="宋体"/>
          <w:szCs w:val="21"/>
        </w:rPr>
      </w:pPr>
      <w:r>
        <w:rPr>
          <w:rFonts w:hint="eastAsia" w:ascii="宋体" w:hAnsi="宋体" w:cs="宋体"/>
          <w:szCs w:val="21"/>
        </w:rPr>
        <w:t>A——定值权重（即不调部分的权重）；</w:t>
      </w:r>
    </w:p>
    <w:p>
      <w:pPr>
        <w:tabs>
          <w:tab w:val="left" w:pos="0"/>
          <w:tab w:val="left" w:pos="360"/>
          <w:tab w:val="left" w:pos="540"/>
        </w:tabs>
        <w:ind w:firstLine="420" w:firstLineChars="200"/>
        <w:rPr>
          <w:rFonts w:ascii="宋体" w:hAnsi="宋体" w:cs="宋体"/>
          <w:szCs w:val="21"/>
        </w:rPr>
      </w:pPr>
      <w:r>
        <w:rPr>
          <w:rFonts w:hint="eastAsia" w:ascii="宋体" w:hAnsi="宋体" w:cs="宋体"/>
          <w:position w:val="-10"/>
          <w:szCs w:val="21"/>
        </w:rPr>
        <w:object>
          <v:shape id="_x0000_i1027" o:spt="75" type="#_x0000_t75" style="height:21.15pt;width:101.2pt;" o:ole="t" filled="f" o:preferrelative="t" stroked="f" coordsize="21600,21600">
            <v:path/>
            <v:fill on="f" focussize="0,0"/>
            <v:stroke on="f" joinstyle="miter"/>
            <v:imagedata r:id="rId26" embosscolor="#FFFFFF" o:title=""/>
            <o:lock v:ext="edit" aspectratio="t"/>
            <w10:wrap type="none"/>
            <w10:anchorlock/>
          </v:shape>
          <o:OLEObject Type="Embed" ProgID="Equation.3" ShapeID="_x0000_i1027" DrawAspect="Content" ObjectID="_1468075727" r:id="rId25">
            <o:LockedField>false</o:LockedField>
          </o:OLEObject>
        </w:object>
      </w:r>
      <w:r>
        <w:rPr>
          <w:rFonts w:hint="eastAsia" w:ascii="宋体" w:hAnsi="宋体" w:cs="宋体"/>
          <w:szCs w:val="21"/>
        </w:rPr>
        <w:t>——各可调因子的变值权重（即可调部分的权重），为各可调因子在签约合同价中所占的比例；</w:t>
      </w:r>
    </w:p>
    <w:p>
      <w:pPr>
        <w:tabs>
          <w:tab w:val="left" w:pos="0"/>
          <w:tab w:val="left" w:pos="360"/>
          <w:tab w:val="left" w:pos="540"/>
        </w:tabs>
        <w:ind w:firstLine="420" w:firstLineChars="200"/>
        <w:rPr>
          <w:rFonts w:ascii="宋体" w:hAnsi="宋体" w:cs="宋体"/>
          <w:szCs w:val="21"/>
        </w:rPr>
      </w:pPr>
      <w:r>
        <w:rPr>
          <w:rFonts w:hint="eastAsia" w:ascii="宋体" w:hAnsi="宋体" w:cs="宋体"/>
          <w:position w:val="-10"/>
          <w:szCs w:val="21"/>
        </w:rPr>
        <w:object>
          <v:shape id="_x0000_i1028" o:spt="75" type="#_x0000_t75" style="height:21.15pt;width:101.7pt;" o:ole="t" filled="f" o:preferrelative="t" stroked="f" coordsize="21600,21600">
            <v:path/>
            <v:fill on="f" focussize="0,0"/>
            <v:stroke on="f" joinstyle="miter"/>
            <v:imagedata r:id="rId28" embosscolor="#FFFFFF" o:title=""/>
            <o:lock v:ext="edit" aspectratio="t"/>
            <w10:wrap type="none"/>
            <w10:anchorlock/>
          </v:shape>
          <o:OLEObject Type="Embed" ProgID="Equation.3" ShapeID="_x0000_i1028" DrawAspect="Content" ObjectID="_1468075728" r:id="rId27">
            <o:LockedField>false</o:LockedField>
          </o:OLEObject>
        </w:object>
      </w:r>
      <w:r>
        <w:rPr>
          <w:rFonts w:hint="eastAsia" w:ascii="宋体" w:hAnsi="宋体" w:cs="宋体"/>
          <w:szCs w:val="21"/>
        </w:rPr>
        <w:t>——各可调因子的现行价格指数，指约定的付款证书相关周期最后一天的前42天的各可调因子的价格指数；</w:t>
      </w:r>
    </w:p>
    <w:p>
      <w:pPr>
        <w:tabs>
          <w:tab w:val="left" w:pos="0"/>
          <w:tab w:val="left" w:pos="360"/>
          <w:tab w:val="left" w:pos="540"/>
        </w:tabs>
        <w:ind w:firstLine="420" w:firstLineChars="200"/>
        <w:rPr>
          <w:rFonts w:ascii="宋体" w:hAnsi="宋体" w:cs="宋体"/>
          <w:szCs w:val="21"/>
        </w:rPr>
      </w:pPr>
      <w:r>
        <w:rPr>
          <w:rFonts w:hint="eastAsia" w:ascii="宋体" w:hAnsi="宋体" w:cs="宋体"/>
          <w:position w:val="-10"/>
          <w:szCs w:val="21"/>
        </w:rPr>
        <w:object>
          <v:shape id="_x0000_i1029" o:spt="75" type="#_x0000_t75" style="height:21.15pt;width:107.75pt;" o:ole="t" filled="f" o:preferrelative="t" stroked="f" coordsize="21600,21600">
            <v:path/>
            <v:fill on="f" focussize="0,0"/>
            <v:stroke on="f" joinstyle="miter"/>
            <v:imagedata r:id="rId30" embosscolor="#FFFFFF" o:title=""/>
            <o:lock v:ext="edit" aspectratio="t"/>
            <w10:wrap type="none"/>
            <w10:anchorlock/>
          </v:shape>
          <o:OLEObject Type="Embed" ProgID="Equation.3" ShapeID="_x0000_i1029" DrawAspect="Content" ObjectID="_1468075729" r:id="rId29">
            <o:LockedField>false</o:LockedField>
          </o:OLEObject>
        </w:object>
      </w:r>
      <w:r>
        <w:rPr>
          <w:rFonts w:hint="eastAsia" w:ascii="宋体" w:hAnsi="宋体" w:cs="宋体"/>
          <w:szCs w:val="21"/>
        </w:rPr>
        <w:t>——各可调因子的基本价格指数，指基准日期的各可调因子的价格指数。</w:t>
      </w:r>
    </w:p>
    <w:p>
      <w:pPr>
        <w:tabs>
          <w:tab w:val="left" w:pos="0"/>
          <w:tab w:val="left" w:pos="360"/>
          <w:tab w:val="left" w:pos="540"/>
        </w:tabs>
        <w:ind w:firstLine="420" w:firstLineChars="200"/>
        <w:rPr>
          <w:rFonts w:ascii="宋体" w:hAnsi="宋体" w:cs="宋体"/>
          <w:szCs w:val="21"/>
        </w:rPr>
      </w:pPr>
      <w:r>
        <w:rPr>
          <w:rFonts w:hint="eastAsia" w:ascii="宋体" w:hAnsi="宋体" w:cs="宋体"/>
          <w:szCs w:val="21"/>
        </w:rPr>
        <w:t>以上价格调整公式中的各可调因子、定值和变值权重，以及基本价格指数及其来源在投标函附录价格指数和权重表中约定，非招标订立的合同，由合同当事人在专用合同条款中约定。价格指数应首先采用工程造价管理机构发布的价格指数，无前述价格指数时，可采用工程造价管理机构发布的价格代替。</w:t>
      </w:r>
    </w:p>
    <w:p>
      <w:pPr>
        <w:widowControl w:val="0"/>
        <w:tabs>
          <w:tab w:val="left" w:pos="0"/>
          <w:tab w:val="left" w:pos="360"/>
          <w:tab w:val="left" w:pos="540"/>
        </w:tabs>
        <w:ind w:firstLine="420" w:firstLineChars="200"/>
        <w:rPr>
          <w:rFonts w:ascii="宋体" w:hAnsi="宋体" w:cs="宋体"/>
          <w:szCs w:val="21"/>
        </w:rPr>
      </w:pPr>
      <w:r>
        <w:rPr>
          <w:rFonts w:hint="eastAsia" w:ascii="宋体" w:hAnsi="宋体" w:cs="宋体"/>
          <w:szCs w:val="21"/>
        </w:rPr>
        <w:t>（2）暂时确定调整差额</w:t>
      </w:r>
    </w:p>
    <w:p>
      <w:pPr>
        <w:widowControl w:val="0"/>
        <w:tabs>
          <w:tab w:val="left" w:pos="0"/>
          <w:tab w:val="left" w:pos="360"/>
          <w:tab w:val="left" w:pos="540"/>
        </w:tabs>
        <w:ind w:firstLine="420" w:firstLineChars="200"/>
        <w:rPr>
          <w:rFonts w:ascii="宋体" w:hAnsi="宋体" w:cs="宋体"/>
          <w:szCs w:val="21"/>
        </w:rPr>
      </w:pPr>
      <w:r>
        <w:rPr>
          <w:rFonts w:hint="eastAsia" w:ascii="宋体" w:hAnsi="宋体" w:cs="宋体"/>
          <w:szCs w:val="21"/>
        </w:rPr>
        <w:t>在计算调整差额时无现行价格指数的，合同当事人同意暂用前次价格指数计算。实际价格指数有调整的，合同当事人进行相应调整。</w:t>
      </w:r>
    </w:p>
    <w:p>
      <w:pPr>
        <w:widowControl w:val="0"/>
        <w:tabs>
          <w:tab w:val="left" w:pos="0"/>
          <w:tab w:val="left" w:pos="360"/>
          <w:tab w:val="left" w:pos="540"/>
        </w:tabs>
        <w:ind w:firstLine="420" w:firstLineChars="200"/>
        <w:rPr>
          <w:rFonts w:ascii="宋体" w:hAnsi="宋体" w:cs="宋体"/>
          <w:szCs w:val="21"/>
        </w:rPr>
      </w:pPr>
      <w:r>
        <w:rPr>
          <w:rFonts w:hint="eastAsia" w:ascii="宋体" w:hAnsi="宋体" w:cs="宋体"/>
          <w:szCs w:val="21"/>
        </w:rPr>
        <w:t>（3）权重的调整</w:t>
      </w:r>
    </w:p>
    <w:p>
      <w:pPr>
        <w:widowControl w:val="0"/>
        <w:tabs>
          <w:tab w:val="left" w:pos="0"/>
          <w:tab w:val="left" w:pos="360"/>
          <w:tab w:val="left" w:pos="540"/>
        </w:tabs>
        <w:ind w:firstLine="420" w:firstLineChars="200"/>
        <w:rPr>
          <w:rFonts w:ascii="宋体" w:hAnsi="宋体" w:cs="宋体"/>
          <w:szCs w:val="21"/>
        </w:rPr>
      </w:pPr>
      <w:r>
        <w:rPr>
          <w:rFonts w:hint="eastAsia" w:ascii="宋体" w:hAnsi="宋体" w:cs="宋体"/>
          <w:szCs w:val="21"/>
        </w:rPr>
        <w:t>因变更导致合同约定的权重不合理时，按照第4.4款〔商定或确定〕执行。</w:t>
      </w:r>
    </w:p>
    <w:p>
      <w:pPr>
        <w:keepNext w:val="0"/>
        <w:keepLines w:val="0"/>
        <w:pageBreakBefore w:val="0"/>
        <w:widowControl w:val="0"/>
        <w:tabs>
          <w:tab w:val="left" w:pos="0"/>
          <w:tab w:val="left" w:pos="360"/>
          <w:tab w:val="left" w:pos="540"/>
        </w:tabs>
        <w:kinsoku/>
        <w:wordWrap/>
        <w:overflowPunct/>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szCs w:val="21"/>
        </w:rPr>
        <w:t>（4）因承包人原因工期延误后的价格调整</w:t>
      </w:r>
    </w:p>
    <w:p>
      <w:pPr>
        <w:keepNext w:val="0"/>
        <w:keepLines w:val="0"/>
        <w:pageBreakBefore w:val="0"/>
        <w:widowControl w:val="0"/>
        <w:tabs>
          <w:tab w:val="left" w:pos="0"/>
          <w:tab w:val="left" w:pos="360"/>
          <w:tab w:val="left" w:pos="540"/>
        </w:tabs>
        <w:kinsoku/>
        <w:wordWrap/>
        <w:overflowPunct/>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szCs w:val="21"/>
        </w:rPr>
        <w:t>因承包人原因未按期竣工的，对合同约定的竣工日期后继续施工的工程，在使用价格调整公式时，应采用计划竣工日期与实际竣工日期的两个价格指数中较低的一个作为现行价格指数。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szCs w:val="21"/>
        </w:rPr>
        <w:t>第2种方式：采用造价信息进行价格调整。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szCs w:val="21"/>
        </w:rPr>
        <w:t>合同履行期间，因人工、材料、工程设备和机械台班价格波动影响合同价格时，人工、机械使用费按照国家或省、自治区、直辖市建设行政管理部门、行业建设管理部门或其授权的工程造价管理机构发布的人工、机械使用费系数进行调整；需要进行价格调整的材料，其单价和采购数量应由发包人审批，发包人确认需调整的材料单价及数量，作为调整合同价格的依据。</w:t>
      </w:r>
    </w:p>
    <w:p>
      <w:pPr>
        <w:widowControl w:val="0"/>
        <w:ind w:firstLine="420" w:firstLineChars="200"/>
        <w:rPr>
          <w:rFonts w:ascii="宋体" w:hAnsi="宋体" w:cs="宋体"/>
          <w:szCs w:val="21"/>
        </w:rPr>
      </w:pPr>
      <w:r>
        <w:rPr>
          <w:rFonts w:hint="eastAsia" w:ascii="宋体" w:hAnsi="宋体" w:cs="宋体"/>
          <w:szCs w:val="21"/>
        </w:rPr>
        <w:t>（1）人工单价发生变化且符合省级或行业建设主管部门发布的人工费调整规定，合同当事人应按省级或行业建设主管部门或其授权的工程造价管理机构发布的人工费等文件调整合同价格，但承包人对人工费或人工单价的报价高于发布价格的除外。</w:t>
      </w:r>
    </w:p>
    <w:p>
      <w:pPr>
        <w:widowControl w:val="0"/>
        <w:ind w:firstLine="420" w:firstLineChars="200"/>
        <w:rPr>
          <w:rFonts w:ascii="宋体" w:hAnsi="宋体" w:cs="宋体"/>
          <w:szCs w:val="21"/>
        </w:rPr>
      </w:pPr>
      <w:r>
        <w:rPr>
          <w:rFonts w:hint="eastAsia" w:ascii="宋体" w:hAnsi="宋体" w:cs="宋体"/>
          <w:szCs w:val="21"/>
        </w:rPr>
        <w:t>（2）材料、工程设备价格变化的价款调整按照发包人提供的基准价格，按以下风险范围规定执行:</w:t>
      </w:r>
    </w:p>
    <w:p>
      <w:pPr>
        <w:widowControl w:val="0"/>
        <w:ind w:firstLine="420" w:firstLineChars="200"/>
        <w:rPr>
          <w:rFonts w:ascii="宋体" w:hAnsi="宋体" w:cs="宋体"/>
          <w:szCs w:val="21"/>
        </w:rPr>
      </w:pPr>
      <w:r>
        <w:rPr>
          <w:rFonts w:hint="eastAsia" w:ascii="宋体" w:hAnsi="宋体" w:cs="宋体"/>
          <w:szCs w:val="21"/>
        </w:rPr>
        <w:t>①承包人在已标价工程量清单或预算书中载明材料单价低于基准价格的：除专用合同条款另有约定外，合同履行期间材料单价涨幅以基准价格为基础超过5%时，或材料单价跌幅以在已标价工程量清单或预算书中载明材料单价为基础超过5%时，其超过部分据实调整。</w:t>
      </w:r>
    </w:p>
    <w:p>
      <w:pPr>
        <w:widowControl w:val="0"/>
        <w:ind w:firstLine="420" w:firstLineChars="200"/>
        <w:rPr>
          <w:rFonts w:ascii="宋体" w:hAnsi="宋体" w:cs="宋体"/>
          <w:szCs w:val="21"/>
        </w:rPr>
      </w:pPr>
      <w:r>
        <w:rPr>
          <w:rFonts w:hint="eastAsia" w:ascii="宋体" w:hAnsi="宋体" w:cs="宋体"/>
          <w:szCs w:val="21"/>
        </w:rPr>
        <w:t>②承包人在已标价工程量清单或预算书中载明材料单价高于基准价格的：除专用合同条款另有约定外，合同履行期间材料单价跌幅以基准价格为基础超过5%时，材料单价涨幅以在已标价工程量清单或预算书中载明材料单价为基础超过5%时，其超过部分据实调整。</w:t>
      </w:r>
    </w:p>
    <w:p>
      <w:pPr>
        <w:widowControl w:val="0"/>
        <w:ind w:firstLine="420" w:firstLineChars="200"/>
        <w:rPr>
          <w:rFonts w:ascii="宋体" w:hAnsi="宋体" w:cs="宋体"/>
          <w:szCs w:val="21"/>
        </w:rPr>
      </w:pPr>
      <w:r>
        <w:rPr>
          <w:rFonts w:hint="eastAsia" w:ascii="宋体" w:hAnsi="宋体" w:cs="宋体"/>
          <w:szCs w:val="21"/>
        </w:rPr>
        <w:t>③承包人在已标价工程量清单或预算书中载明材料单价等于基准价格的：除专用合同条款另有约定外，合同履行期间材料单价涨跌幅以基准价格为基础超过±5%时，其超过部分据实调整。</w:t>
      </w:r>
    </w:p>
    <w:p>
      <w:pPr>
        <w:ind w:firstLine="420" w:firstLineChars="200"/>
        <w:rPr>
          <w:rFonts w:ascii="宋体" w:hAnsi="宋体" w:cs="宋体"/>
          <w:szCs w:val="21"/>
        </w:rPr>
      </w:pPr>
      <w:r>
        <w:rPr>
          <w:rFonts w:hint="eastAsia" w:ascii="宋体" w:hAnsi="宋体" w:cs="宋体"/>
          <w:szCs w:val="21"/>
        </w:rPr>
        <w:t>④承包人应在采购材料前将采购数量和新的材料单价报发包人核对，发包人确认用于工程时，发包人应确认采购材料的数量和单价。发包人在收到承包人报送的确认资料后5天内不予答复的视为认可，作为调整合同价格的依据。未经发包人事先核对，承包人自行采购材料的，发包人有权不予调整合同价格。发包人同意的，可以调整合同价格。</w:t>
      </w:r>
    </w:p>
    <w:p>
      <w:pPr>
        <w:ind w:firstLine="420" w:firstLineChars="200"/>
        <w:rPr>
          <w:rFonts w:ascii="宋体" w:hAnsi="宋体" w:cs="宋体"/>
          <w:szCs w:val="21"/>
        </w:rPr>
      </w:pPr>
      <w:bookmarkStart w:id="346" w:name="OLE_LINK3"/>
      <w:r>
        <w:rPr>
          <w:rFonts w:hint="eastAsia" w:ascii="宋体" w:hAnsi="宋体" w:cs="宋体"/>
          <w:szCs w:val="21"/>
        </w:rPr>
        <w:t>前述基准价格是指由发包人在招标文件或专用合同条款中给定的材料、工程设备的价格，该价格原则上应当按照省级或行业建设主管部门或其授权的工程造价管理机构发布的信息价编制。</w:t>
      </w:r>
    </w:p>
    <w:p>
      <w:pPr>
        <w:ind w:firstLine="420" w:firstLineChars="200"/>
        <w:rPr>
          <w:rFonts w:ascii="宋体" w:hAnsi="宋体" w:cs="宋体"/>
          <w:szCs w:val="21"/>
        </w:rPr>
      </w:pPr>
      <w:r>
        <w:rPr>
          <w:rFonts w:hint="eastAsia" w:ascii="宋体" w:hAnsi="宋体" w:cs="宋体"/>
          <w:szCs w:val="21"/>
        </w:rPr>
        <w:t>（3）施工机械台班单价或施工机械使用费发生变化超过省级或行业建设主管部门或其授权的工程造价管理机构规定的范围时，按规定调整合同价格。</w:t>
      </w:r>
    </w:p>
    <w:p>
      <w:pPr>
        <w:ind w:firstLine="420" w:firstLineChars="200"/>
        <w:rPr>
          <w:rFonts w:ascii="宋体" w:hAnsi="宋体" w:cs="宋体"/>
          <w:szCs w:val="21"/>
        </w:rPr>
      </w:pPr>
      <w:r>
        <w:rPr>
          <w:rFonts w:hint="eastAsia" w:ascii="宋体" w:hAnsi="宋体" w:cs="宋体"/>
          <w:szCs w:val="21"/>
        </w:rPr>
        <w:t>第3种方式：专用合同条款约定的其他方式。</w:t>
      </w:r>
    </w:p>
    <w:p>
      <w:pPr>
        <w:keepNext/>
        <w:keepLines/>
        <w:tabs>
          <w:tab w:val="left" w:pos="1008"/>
        </w:tabs>
        <w:jc w:val="left"/>
        <w:outlineLvl w:val="4"/>
        <w:rPr>
          <w:rFonts w:ascii="宋体" w:hAnsi="宋体" w:cs="宋体"/>
          <w:kern w:val="0"/>
          <w:szCs w:val="21"/>
        </w:rPr>
      </w:pPr>
      <w:bookmarkStart w:id="347" w:name="_Toc351203579"/>
      <w:bookmarkStart w:id="348" w:name="_Toc337558798"/>
      <w:bookmarkStart w:id="349" w:name="_Toc296503093"/>
      <w:bookmarkStart w:id="350" w:name="_Toc296346594"/>
      <w:r>
        <w:rPr>
          <w:rFonts w:hint="eastAsia" w:ascii="宋体" w:hAnsi="宋体" w:cs="宋体"/>
          <w:kern w:val="0"/>
          <w:szCs w:val="21"/>
        </w:rPr>
        <w:t>11.2法律变化引起的调整</w:t>
      </w:r>
      <w:bookmarkEnd w:id="347"/>
    </w:p>
    <w:bookmarkEnd w:id="348"/>
    <w:bookmarkEnd w:id="349"/>
    <w:bookmarkEnd w:id="350"/>
    <w:p>
      <w:pPr>
        <w:ind w:firstLine="420" w:firstLineChars="200"/>
        <w:rPr>
          <w:rFonts w:ascii="宋体" w:hAnsi="宋体" w:cs="宋体"/>
          <w:szCs w:val="21"/>
        </w:rPr>
      </w:pPr>
      <w:r>
        <w:rPr>
          <w:rFonts w:hint="eastAsia" w:ascii="宋体" w:hAnsi="宋体" w:cs="宋体"/>
          <w:szCs w:val="21"/>
        </w:rPr>
        <w:t>基准日期后，法律变化导致承包人在合同履行过程中所需要的费用发生除第11.1款〔市场价格波动引起的调整〕约定以外的增加时，由发包人承担由此增加的费用；减少时，应从合同价格中予以扣减。基准日期后，因法律变化造成工期延误时，工期应予以顺延。</w:t>
      </w:r>
    </w:p>
    <w:p>
      <w:pPr>
        <w:ind w:firstLine="420" w:firstLineChars="200"/>
        <w:rPr>
          <w:rFonts w:ascii="宋体" w:hAnsi="宋体" w:cs="宋体"/>
          <w:szCs w:val="21"/>
        </w:rPr>
      </w:pPr>
      <w:r>
        <w:rPr>
          <w:rFonts w:hint="eastAsia" w:ascii="宋体" w:hAnsi="宋体" w:cs="宋体"/>
          <w:szCs w:val="21"/>
        </w:rPr>
        <w:t>因法律变化引起的合同价格和工期调整，合同当事人无法达成一致的，由总监理工程师按第4.4款〔商定或确定〕的约定处理。</w:t>
      </w:r>
    </w:p>
    <w:p>
      <w:pPr>
        <w:ind w:firstLine="420" w:firstLineChars="200"/>
        <w:rPr>
          <w:rFonts w:ascii="宋体" w:hAnsi="宋体" w:cs="宋体"/>
          <w:szCs w:val="21"/>
        </w:rPr>
      </w:pPr>
      <w:r>
        <w:rPr>
          <w:rFonts w:hint="eastAsia" w:ascii="宋体" w:hAnsi="宋体" w:cs="宋体"/>
          <w:kern w:val="0"/>
          <w:szCs w:val="21"/>
        </w:rPr>
        <w:t>因承包人原因造成工期延误，在工期延误期间出现法律变化的，由此增加的费用和（或）延误的工期由承包人承担。</w:t>
      </w:r>
    </w:p>
    <w:p>
      <w:pPr>
        <w:keepNext/>
        <w:keepLines/>
        <w:tabs>
          <w:tab w:val="left" w:pos="864"/>
        </w:tabs>
        <w:jc w:val="left"/>
        <w:outlineLvl w:val="3"/>
        <w:rPr>
          <w:rFonts w:ascii="宋体" w:hAnsi="宋体" w:cs="宋体"/>
          <w:kern w:val="0"/>
          <w:szCs w:val="21"/>
        </w:rPr>
      </w:pPr>
      <w:bookmarkStart w:id="351" w:name="_Toc351203580"/>
      <w:bookmarkStart w:id="352" w:name="_Toc337558799"/>
      <w:bookmarkStart w:id="353" w:name="_Toc296503096"/>
      <w:bookmarkStart w:id="354" w:name="_Toc296346597"/>
      <w:r>
        <w:rPr>
          <w:rFonts w:hint="eastAsia" w:ascii="宋体" w:hAnsi="宋体" w:cs="宋体"/>
          <w:kern w:val="0"/>
          <w:szCs w:val="21"/>
        </w:rPr>
        <w:t>12. 合同价格、计量与支付</w:t>
      </w:r>
      <w:bookmarkEnd w:id="351"/>
    </w:p>
    <w:bookmarkEnd w:id="352"/>
    <w:p>
      <w:pPr>
        <w:keepNext/>
        <w:keepLines/>
        <w:tabs>
          <w:tab w:val="left" w:pos="1008"/>
        </w:tabs>
        <w:jc w:val="left"/>
        <w:outlineLvl w:val="4"/>
        <w:rPr>
          <w:rFonts w:ascii="宋体" w:hAnsi="宋体" w:cs="宋体"/>
          <w:kern w:val="0"/>
          <w:szCs w:val="21"/>
        </w:rPr>
      </w:pPr>
      <w:bookmarkStart w:id="355" w:name="_Toc351203581"/>
      <w:bookmarkStart w:id="356" w:name="_Toc337558800"/>
      <w:r>
        <w:rPr>
          <w:rFonts w:hint="eastAsia" w:ascii="宋体" w:hAnsi="宋体" w:cs="宋体"/>
          <w:kern w:val="0"/>
          <w:szCs w:val="21"/>
        </w:rPr>
        <w:t>12.1 合同价</w:t>
      </w:r>
      <w:bookmarkEnd w:id="353"/>
      <w:bookmarkEnd w:id="354"/>
      <w:r>
        <w:rPr>
          <w:rFonts w:hint="eastAsia" w:ascii="宋体" w:hAnsi="宋体" w:cs="宋体"/>
          <w:kern w:val="0"/>
          <w:szCs w:val="21"/>
        </w:rPr>
        <w:t>格形式</w:t>
      </w:r>
      <w:bookmarkEnd w:id="355"/>
    </w:p>
    <w:bookmarkEnd w:id="356"/>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发包人和承包人应在合同协议书中选择下列一种合同价格形式：</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1.单价合同</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单价合同是指合同当事人约定以工程量清单及其综合单价进行合同价格计算、调整和确认的建设工程施工合同，</w:t>
      </w:r>
      <w:r>
        <w:rPr>
          <w:rFonts w:hint="eastAsia" w:ascii="宋体" w:hAnsi="宋体" w:cs="宋体"/>
          <w:szCs w:val="21"/>
        </w:rPr>
        <w:t>在约定的范围内合同单价不作调整</w:t>
      </w:r>
      <w:r>
        <w:rPr>
          <w:rFonts w:hint="eastAsia" w:ascii="宋体" w:hAnsi="宋体" w:cs="宋体"/>
          <w:kern w:val="0"/>
          <w:szCs w:val="21"/>
        </w:rPr>
        <w:t>。合同当事人应在专用合同条款中约定综合单价包含的风险范围和风险费用的计算方法</w:t>
      </w:r>
      <w:r>
        <w:rPr>
          <w:rFonts w:hint="eastAsia" w:ascii="宋体" w:hAnsi="宋体" w:cs="宋体"/>
          <w:szCs w:val="21"/>
        </w:rPr>
        <w:t>，</w:t>
      </w:r>
      <w:r>
        <w:rPr>
          <w:rFonts w:hint="eastAsia" w:ascii="宋体" w:hAnsi="宋体" w:cs="宋体"/>
          <w:kern w:val="0"/>
          <w:szCs w:val="21"/>
        </w:rPr>
        <w:t>并约定风险范围以外的合同价格的调整方法，其中因市场价格波动引起的调整按第11.1款〔市场价格波动引起的调整〕约定执行。</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2.总价合同</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总价合同是指合同当事人约定以施工图、已标价工程量清单或预算书及有关条件进行合同价格计算、调整和确认的建设工程施工合同，</w:t>
      </w:r>
      <w:r>
        <w:rPr>
          <w:rFonts w:hint="eastAsia" w:ascii="宋体" w:hAnsi="宋体" w:cs="宋体"/>
          <w:szCs w:val="21"/>
        </w:rPr>
        <w:t>在约定的范围内合同总价不作调整</w:t>
      </w:r>
      <w:r>
        <w:rPr>
          <w:rFonts w:hint="eastAsia" w:ascii="宋体" w:hAnsi="宋体" w:cs="宋体"/>
          <w:kern w:val="0"/>
          <w:szCs w:val="21"/>
        </w:rPr>
        <w:t>。合同当事人应在专用合同条款中约定总价包含的风险范围和风险费用的计算方法，并约定风险范围以外的合同价格的调整方法，其中因市场价格波动引起的调整按第11.1款〔市场价格波动引起的调整〕、因法律变化引起的调整按第11.2款〔法律变化引起的调整〕约定执行。</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3.其它价格形式</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合同当事人可在专用合同条款中约定其他合同价格形式。</w:t>
      </w:r>
    </w:p>
    <w:p>
      <w:pPr>
        <w:keepNext w:val="0"/>
        <w:keepLines w:val="0"/>
        <w:pageBreakBefore w:val="0"/>
        <w:widowControl w:val="0"/>
        <w:tabs>
          <w:tab w:val="left" w:pos="1008"/>
        </w:tabs>
        <w:kinsoku/>
        <w:wordWrap/>
        <w:overflowPunct/>
        <w:topLinePunct w:val="0"/>
        <w:bidi w:val="0"/>
        <w:snapToGrid/>
        <w:jc w:val="left"/>
        <w:textAlignment w:val="auto"/>
        <w:outlineLvl w:val="4"/>
        <w:rPr>
          <w:rFonts w:ascii="宋体" w:hAnsi="宋体" w:cs="宋体"/>
          <w:kern w:val="0"/>
          <w:szCs w:val="21"/>
        </w:rPr>
      </w:pPr>
      <w:bookmarkStart w:id="357" w:name="_Toc296503097"/>
      <w:bookmarkStart w:id="358" w:name="_Toc296346598"/>
      <w:bookmarkStart w:id="359" w:name="_Toc351203582"/>
      <w:bookmarkStart w:id="360" w:name="_Toc337558801"/>
      <w:r>
        <w:rPr>
          <w:rFonts w:hint="eastAsia" w:ascii="宋体" w:hAnsi="宋体" w:cs="宋体"/>
          <w:kern w:val="0"/>
          <w:szCs w:val="21"/>
        </w:rPr>
        <w:t>12.2预</w:t>
      </w:r>
      <w:bookmarkEnd w:id="357"/>
      <w:bookmarkEnd w:id="358"/>
      <w:bookmarkStart w:id="361" w:name="_Toc296346601"/>
      <w:bookmarkStart w:id="362" w:name="_Toc296503100"/>
      <w:r>
        <w:rPr>
          <w:rFonts w:hint="eastAsia" w:ascii="宋体" w:hAnsi="宋体" w:cs="宋体"/>
          <w:kern w:val="0"/>
          <w:szCs w:val="21"/>
        </w:rPr>
        <w:t>付款</w:t>
      </w:r>
      <w:bookmarkEnd w:id="359"/>
    </w:p>
    <w:bookmarkEnd w:id="360"/>
    <w:bookmarkEnd w:id="361"/>
    <w:bookmarkEnd w:id="362"/>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szCs w:val="21"/>
        </w:rPr>
        <w:t>12.2.</w:t>
      </w:r>
      <w:r>
        <w:rPr>
          <w:rFonts w:hint="eastAsia" w:ascii="宋体" w:hAnsi="宋体" w:cs="宋体"/>
          <w:kern w:val="0"/>
          <w:szCs w:val="21"/>
        </w:rPr>
        <w:t>1预付款的支付</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预付款的支付按照专用合同条款约定执行，但至迟应在开工通知载明的开工日期7天前支付。预付款应当用于材料、工程设备、施工设备的采购及修建临时工程、组织施工队伍进场等。</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除专用合同条款另有约定外，预付款在进度付款中同比例扣回。</w:t>
      </w:r>
      <w:bookmarkEnd w:id="346"/>
      <w:r>
        <w:rPr>
          <w:rFonts w:hint="eastAsia" w:ascii="宋体" w:hAnsi="宋体" w:cs="宋体"/>
          <w:kern w:val="0"/>
          <w:szCs w:val="21"/>
        </w:rPr>
        <w:t>在颁发工程接收证书前，提前解除合同的，尚未扣完的预付款应与合同价款一并结算。</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发包人逾期支付预付款超过7天的，承包人有权向发包人发出要求预付的催告通知，发包人收到通知后7天内仍未支付的，承包人有权暂停施工，并按第16.1.1项〔发包人违约的情形〕执行。</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szCs w:val="21"/>
        </w:rPr>
      </w:pPr>
      <w:r>
        <w:rPr>
          <w:rFonts w:hint="eastAsia" w:ascii="宋体" w:hAnsi="宋体" w:cs="宋体"/>
          <w:szCs w:val="21"/>
        </w:rPr>
        <w:t>12.2.2 预付款担保</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发包人要求承包人提供预付款担保的，承包人应在发包人支付预付款7天前提供预付款担保，专用合同条款另有约定除外。预付款担保可采用银行保函、担保公司担保等形式，具体由合同当事人在专用合同条款中约定。在预付款完全扣回之前，承包人应保证预付款担保持续有效。</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发包人在工程款中逐期扣回预付款后，预付款担保额度应相应减少，但剩余的预付款担保金额不得低于未被扣回的预付款金额。</w:t>
      </w:r>
    </w:p>
    <w:p>
      <w:pPr>
        <w:keepNext w:val="0"/>
        <w:keepLines w:val="0"/>
        <w:pageBreakBefore w:val="0"/>
        <w:widowControl w:val="0"/>
        <w:tabs>
          <w:tab w:val="left" w:pos="1008"/>
        </w:tabs>
        <w:kinsoku/>
        <w:wordWrap/>
        <w:overflowPunct/>
        <w:topLinePunct w:val="0"/>
        <w:bidi w:val="0"/>
        <w:snapToGrid/>
        <w:jc w:val="left"/>
        <w:textAlignment w:val="auto"/>
        <w:outlineLvl w:val="4"/>
        <w:rPr>
          <w:rFonts w:ascii="宋体" w:hAnsi="宋体" w:cs="宋体"/>
          <w:kern w:val="0"/>
          <w:szCs w:val="21"/>
        </w:rPr>
      </w:pPr>
      <w:bookmarkStart w:id="363" w:name="_Toc351203583"/>
      <w:bookmarkStart w:id="364" w:name="_Toc337558802"/>
      <w:r>
        <w:rPr>
          <w:rFonts w:hint="eastAsia" w:ascii="宋体" w:hAnsi="宋体" w:cs="宋体"/>
          <w:kern w:val="0"/>
          <w:szCs w:val="21"/>
        </w:rPr>
        <w:t>12.3计量</w:t>
      </w:r>
      <w:bookmarkEnd w:id="363"/>
    </w:p>
    <w:bookmarkEnd w:id="364"/>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12.3.1 计量原则</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工程量计量按照合同约定的工程量计算规则、图纸及变更指示等进行计量。工程量计算规则应以相关的国家标准、行业标准等为依据，由合同当事人在专用合同条款中约定。</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12.3.2 计量周期</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除专用合同条款另有约定外，工程量的计量按月进行。</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12.3.3 单价合同的计量</w:t>
      </w:r>
    </w:p>
    <w:p>
      <w:pPr>
        <w:ind w:firstLine="420" w:firstLineChars="200"/>
        <w:jc w:val="left"/>
        <w:rPr>
          <w:rFonts w:ascii="宋体" w:hAnsi="宋体" w:cs="宋体"/>
          <w:kern w:val="0"/>
          <w:szCs w:val="21"/>
        </w:rPr>
      </w:pPr>
      <w:r>
        <w:rPr>
          <w:rFonts w:hint="eastAsia" w:ascii="宋体" w:hAnsi="宋体" w:cs="宋体"/>
          <w:kern w:val="0"/>
          <w:szCs w:val="21"/>
        </w:rPr>
        <w:t>除专用合同条款另有约定外，单价合同的计量按照本项约定执行：</w:t>
      </w:r>
    </w:p>
    <w:p>
      <w:pPr>
        <w:ind w:firstLine="420" w:firstLineChars="200"/>
        <w:jc w:val="left"/>
        <w:rPr>
          <w:rFonts w:ascii="宋体" w:hAnsi="宋体" w:cs="宋体"/>
          <w:kern w:val="0"/>
          <w:szCs w:val="21"/>
        </w:rPr>
      </w:pPr>
      <w:r>
        <w:rPr>
          <w:rFonts w:hint="eastAsia" w:ascii="宋体" w:hAnsi="宋体" w:cs="宋体"/>
          <w:kern w:val="0"/>
          <w:szCs w:val="21"/>
        </w:rPr>
        <w:t>（1）承包人应于每月25日向监理人报送上月20日至当月19日已完成的工程量报告，并附具进度付款申请单、已完成工程量报表和有关资料。</w:t>
      </w:r>
    </w:p>
    <w:p>
      <w:pPr>
        <w:ind w:firstLine="420" w:firstLineChars="200"/>
        <w:jc w:val="left"/>
        <w:rPr>
          <w:rFonts w:ascii="宋体" w:hAnsi="宋体" w:cs="宋体"/>
          <w:kern w:val="0"/>
          <w:szCs w:val="21"/>
        </w:rPr>
      </w:pPr>
      <w:r>
        <w:rPr>
          <w:rFonts w:hint="eastAsia" w:ascii="宋体" w:hAnsi="宋体" w:cs="宋体"/>
          <w:kern w:val="0"/>
          <w:szCs w:val="21"/>
        </w:rPr>
        <w:t>（2）监理人应在收到承包人提交的工程量报告后7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复核或修正的工程量视为承包人实际完成的工程量。</w:t>
      </w:r>
    </w:p>
    <w:p>
      <w:pPr>
        <w:ind w:firstLine="420" w:firstLineChars="200"/>
        <w:jc w:val="left"/>
        <w:rPr>
          <w:rFonts w:ascii="宋体" w:hAnsi="宋体" w:cs="宋体"/>
          <w:kern w:val="0"/>
          <w:szCs w:val="21"/>
        </w:rPr>
      </w:pPr>
      <w:r>
        <w:rPr>
          <w:rFonts w:hint="eastAsia" w:ascii="宋体" w:hAnsi="宋体" w:cs="宋体"/>
          <w:kern w:val="0"/>
          <w:szCs w:val="21"/>
        </w:rPr>
        <w:t>（3）监理人未在收到承包人提交的工程量报表后的7天内完成审核的，承包人报送的工程量报告中的工程量视为承包人实际完成的工程量，据此计算工程价款。</w:t>
      </w:r>
    </w:p>
    <w:p>
      <w:pPr>
        <w:ind w:firstLine="420" w:firstLineChars="200"/>
        <w:jc w:val="left"/>
        <w:rPr>
          <w:rFonts w:ascii="宋体" w:hAnsi="宋体" w:cs="宋体"/>
          <w:kern w:val="0"/>
          <w:szCs w:val="21"/>
        </w:rPr>
      </w:pPr>
      <w:r>
        <w:rPr>
          <w:rFonts w:hint="eastAsia" w:ascii="宋体" w:hAnsi="宋体" w:cs="宋体"/>
          <w:kern w:val="0"/>
          <w:szCs w:val="21"/>
        </w:rPr>
        <w:t>12.3.4 总价合同的计量</w:t>
      </w:r>
    </w:p>
    <w:p>
      <w:pPr>
        <w:ind w:firstLine="420" w:firstLineChars="200"/>
        <w:jc w:val="left"/>
        <w:rPr>
          <w:rFonts w:ascii="宋体" w:hAnsi="宋体" w:cs="宋体"/>
          <w:kern w:val="0"/>
          <w:szCs w:val="21"/>
        </w:rPr>
      </w:pPr>
      <w:r>
        <w:rPr>
          <w:rFonts w:hint="eastAsia" w:ascii="宋体" w:hAnsi="宋体" w:cs="宋体"/>
          <w:kern w:val="0"/>
          <w:szCs w:val="21"/>
        </w:rPr>
        <w:t>除专用合同条款另有约定外，按月计量支付的总价合同，按照本项约定执行：</w:t>
      </w:r>
    </w:p>
    <w:p>
      <w:pPr>
        <w:ind w:firstLine="420" w:firstLineChars="200"/>
        <w:jc w:val="left"/>
        <w:rPr>
          <w:rFonts w:ascii="宋体" w:hAnsi="宋体" w:cs="宋体"/>
          <w:kern w:val="0"/>
          <w:szCs w:val="21"/>
        </w:rPr>
      </w:pPr>
      <w:r>
        <w:rPr>
          <w:rFonts w:hint="eastAsia" w:ascii="宋体" w:hAnsi="宋体" w:cs="宋体"/>
          <w:kern w:val="0"/>
          <w:szCs w:val="21"/>
        </w:rPr>
        <w:t>（1）承包人应于每月25日向监理人报送上月20日至当月19日已完成的工程量报告，并附具进度付款申请单、已完成工程量报表和有关资料。</w:t>
      </w:r>
    </w:p>
    <w:p>
      <w:pPr>
        <w:ind w:firstLine="420" w:firstLineChars="200"/>
        <w:jc w:val="left"/>
        <w:rPr>
          <w:rFonts w:ascii="宋体" w:hAnsi="宋体" w:cs="宋体"/>
          <w:kern w:val="0"/>
          <w:szCs w:val="21"/>
        </w:rPr>
      </w:pPr>
      <w:r>
        <w:rPr>
          <w:rFonts w:hint="eastAsia" w:ascii="宋体" w:hAnsi="宋体" w:cs="宋体"/>
          <w:kern w:val="0"/>
          <w:szCs w:val="21"/>
        </w:rPr>
        <w:t>（2）监理人应在收到承包人提交的工程量报告后7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审核或修正的工程量视为承包人实际完成的工程量。</w:t>
      </w:r>
    </w:p>
    <w:p>
      <w:pPr>
        <w:ind w:firstLine="420" w:firstLineChars="200"/>
        <w:jc w:val="left"/>
        <w:rPr>
          <w:rFonts w:ascii="宋体" w:hAnsi="宋体" w:cs="宋体"/>
          <w:kern w:val="0"/>
          <w:szCs w:val="21"/>
        </w:rPr>
      </w:pPr>
      <w:r>
        <w:rPr>
          <w:rFonts w:hint="eastAsia" w:ascii="宋体" w:hAnsi="宋体" w:cs="宋体"/>
          <w:kern w:val="0"/>
          <w:szCs w:val="21"/>
        </w:rPr>
        <w:t>（3）监理人未在收到承包人提交的工程量报表后的7天内完成复核的，承包人提交的工程量报告中的工程量视为承包人实际完成的工程量。</w:t>
      </w:r>
    </w:p>
    <w:p>
      <w:pPr>
        <w:ind w:firstLine="420" w:firstLineChars="200"/>
        <w:jc w:val="left"/>
        <w:rPr>
          <w:rFonts w:ascii="宋体" w:hAnsi="宋体" w:cs="宋体"/>
          <w:kern w:val="0"/>
          <w:szCs w:val="21"/>
        </w:rPr>
      </w:pPr>
      <w:r>
        <w:rPr>
          <w:rFonts w:hint="eastAsia" w:ascii="宋体" w:hAnsi="宋体" w:cs="宋体"/>
          <w:kern w:val="0"/>
          <w:szCs w:val="21"/>
        </w:rPr>
        <w:t>12.3.5 总价合同采用支付分解表计量支付的，可以按照第12.3.4项〔总价合同的计量〕约定进行计量，但合同价款按照支付分解表进行支付。</w:t>
      </w:r>
    </w:p>
    <w:p>
      <w:pPr>
        <w:ind w:firstLine="420" w:firstLineChars="200"/>
        <w:jc w:val="left"/>
        <w:rPr>
          <w:rFonts w:ascii="宋体" w:hAnsi="宋体" w:cs="宋体"/>
          <w:kern w:val="0"/>
          <w:szCs w:val="21"/>
        </w:rPr>
      </w:pPr>
      <w:r>
        <w:rPr>
          <w:rFonts w:hint="eastAsia" w:ascii="宋体" w:hAnsi="宋体" w:cs="宋体"/>
          <w:kern w:val="0"/>
          <w:szCs w:val="21"/>
        </w:rPr>
        <w:t>12.3.6 其他价格形式合同的计量</w:t>
      </w:r>
    </w:p>
    <w:p>
      <w:pPr>
        <w:ind w:firstLine="420" w:firstLineChars="200"/>
        <w:jc w:val="left"/>
        <w:rPr>
          <w:rFonts w:ascii="宋体" w:hAnsi="宋体" w:cs="宋体"/>
          <w:kern w:val="0"/>
          <w:szCs w:val="21"/>
        </w:rPr>
      </w:pPr>
      <w:r>
        <w:rPr>
          <w:rFonts w:hint="eastAsia" w:ascii="宋体" w:hAnsi="宋体" w:cs="宋体"/>
          <w:kern w:val="0"/>
          <w:szCs w:val="21"/>
        </w:rPr>
        <w:t>合同当事人可在专用合同条款中约定其他价格形式合同的计量方式和程序。</w:t>
      </w:r>
    </w:p>
    <w:p>
      <w:pPr>
        <w:keepNext/>
        <w:keepLines/>
        <w:tabs>
          <w:tab w:val="left" w:pos="1008"/>
        </w:tabs>
        <w:jc w:val="left"/>
        <w:outlineLvl w:val="4"/>
        <w:rPr>
          <w:rFonts w:ascii="宋体" w:hAnsi="宋体" w:cs="宋体"/>
          <w:kern w:val="0"/>
          <w:szCs w:val="21"/>
        </w:rPr>
      </w:pPr>
      <w:bookmarkStart w:id="365" w:name="_Toc296503101"/>
      <w:bookmarkStart w:id="366" w:name="_Toc296346602"/>
      <w:bookmarkStart w:id="367" w:name="_Toc351203584"/>
      <w:bookmarkStart w:id="368" w:name="_Toc337558803"/>
      <w:r>
        <w:rPr>
          <w:rFonts w:hint="eastAsia" w:ascii="宋体" w:hAnsi="宋体" w:cs="宋体"/>
          <w:kern w:val="0"/>
          <w:szCs w:val="21"/>
        </w:rPr>
        <w:t>12.4工程进度款支</w:t>
      </w:r>
      <w:bookmarkEnd w:id="365"/>
      <w:bookmarkEnd w:id="366"/>
      <w:r>
        <w:rPr>
          <w:rFonts w:hint="eastAsia" w:ascii="宋体" w:hAnsi="宋体" w:cs="宋体"/>
          <w:kern w:val="0"/>
          <w:szCs w:val="21"/>
        </w:rPr>
        <w:t>付</w:t>
      </w:r>
      <w:bookmarkEnd w:id="367"/>
    </w:p>
    <w:bookmarkEnd w:id="368"/>
    <w:p>
      <w:pPr>
        <w:autoSpaceDE w:val="0"/>
        <w:autoSpaceDN w:val="0"/>
        <w:adjustRightInd w:val="0"/>
        <w:ind w:firstLine="420" w:firstLineChars="200"/>
        <w:jc w:val="left"/>
        <w:rPr>
          <w:rFonts w:ascii="宋体" w:hAnsi="宋体" w:cs="宋体"/>
          <w:szCs w:val="21"/>
        </w:rPr>
      </w:pPr>
      <w:r>
        <w:rPr>
          <w:rFonts w:hint="eastAsia" w:ascii="宋体" w:hAnsi="宋体" w:cs="宋体"/>
          <w:szCs w:val="21"/>
        </w:rPr>
        <w:t>12.4.1 付款周期</w:t>
      </w:r>
    </w:p>
    <w:p>
      <w:pPr>
        <w:ind w:firstLine="420" w:firstLineChars="200"/>
        <w:jc w:val="left"/>
        <w:rPr>
          <w:rFonts w:ascii="宋体" w:hAnsi="宋体" w:cs="宋体"/>
          <w:kern w:val="0"/>
          <w:szCs w:val="21"/>
        </w:rPr>
      </w:pPr>
      <w:r>
        <w:rPr>
          <w:rFonts w:hint="eastAsia" w:ascii="宋体" w:hAnsi="宋体" w:cs="宋体"/>
          <w:kern w:val="0"/>
          <w:szCs w:val="21"/>
        </w:rPr>
        <w:t>除专用合同条款另有约定外，付款周期应按照第12.3.2项〔计量周期〕的约定与计量周期保持一致。</w:t>
      </w:r>
    </w:p>
    <w:p>
      <w:pPr>
        <w:autoSpaceDE w:val="0"/>
        <w:autoSpaceDN w:val="0"/>
        <w:adjustRightInd w:val="0"/>
        <w:ind w:firstLine="420" w:firstLineChars="200"/>
        <w:jc w:val="left"/>
        <w:rPr>
          <w:rFonts w:ascii="宋体" w:hAnsi="宋体" w:cs="宋体"/>
          <w:kern w:val="0"/>
          <w:szCs w:val="21"/>
        </w:rPr>
      </w:pPr>
      <w:r>
        <w:rPr>
          <w:rFonts w:hint="eastAsia" w:ascii="宋体" w:hAnsi="宋体" w:cs="宋体"/>
          <w:szCs w:val="21"/>
        </w:rPr>
        <w:t>12.4</w:t>
      </w:r>
      <w:r>
        <w:rPr>
          <w:rFonts w:hint="eastAsia" w:ascii="宋体" w:hAnsi="宋体" w:cs="宋体"/>
          <w:kern w:val="0"/>
          <w:szCs w:val="21"/>
        </w:rPr>
        <w:t>.2 进度付款申请单的编制</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除专用合同条款另有约定外，进度付款申请单应包括下列内容：</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（1）截至本次付款周期已完成工作对应的金额；</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（2）根据第10条〔变更〕应增加和扣减的变更金额；</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（3）根据第12.2款〔预付款〕约定应支付的预付款和扣减的返还预付款；</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（4）根据第15.3款〔质量保证金〕约定应扣减的质量保证金；</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（5）根据第19条〔索赔〕应增加和扣减的索赔金额；</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（6）对已签发的进度款支付证书中出现错误的修正，应在本次进度付款中支付或扣除的金额；</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（7）根据合同约定应增加和扣减的其他金额。</w:t>
      </w:r>
    </w:p>
    <w:p>
      <w:pPr>
        <w:autoSpaceDE w:val="0"/>
        <w:autoSpaceDN w:val="0"/>
        <w:adjustRightInd w:val="0"/>
        <w:ind w:firstLine="420" w:firstLineChars="200"/>
        <w:jc w:val="left"/>
        <w:rPr>
          <w:rFonts w:ascii="宋体" w:hAnsi="宋体" w:cs="宋体"/>
          <w:szCs w:val="21"/>
        </w:rPr>
      </w:pPr>
      <w:r>
        <w:rPr>
          <w:rFonts w:hint="eastAsia" w:ascii="宋体" w:hAnsi="宋体" w:cs="宋体"/>
          <w:szCs w:val="21"/>
        </w:rPr>
        <w:t>12.4.3 进度付款申请单的提交</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（1）单价合同进度付款申请单的提交</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单价合同的进度付款申请单，按照第12.3.3项〔单价合同的计量〕约定的时间按月向监理人提交，并附上已完成工程量报表和有关资料。单价合同中的总价项目按月进行支付分解，并汇总列入当期进度付款申请单。</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（2）总价合同进度付款申请单的提交</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总价合同按月计量支付的，承包人按照第12.3.4项〔总价合同的计量〕约定的时间按月向监理人提交进度付款申请单，并附上已完成工程量报表和有关资料。</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总价合同按支付分解表支付的，承包人应按照第12.4.6项〔支付分解表〕及第12.4.2项〔进度付款申请单的编制〕的约定向监理人提交进度付款申请单。</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（3）其他价格形式合同的进度付款申请单的提交</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合同当事人可在专用合同条款中约定其他价格形式合同的进度付款申请单的编制和提交程序。</w:t>
      </w:r>
    </w:p>
    <w:p>
      <w:pPr>
        <w:autoSpaceDE w:val="0"/>
        <w:autoSpaceDN w:val="0"/>
        <w:adjustRightInd w:val="0"/>
        <w:ind w:firstLine="420" w:firstLineChars="200"/>
        <w:jc w:val="left"/>
        <w:rPr>
          <w:rFonts w:ascii="宋体" w:hAnsi="宋体" w:cs="宋体"/>
          <w:szCs w:val="21"/>
        </w:rPr>
      </w:pPr>
      <w:r>
        <w:rPr>
          <w:rFonts w:hint="eastAsia" w:ascii="宋体" w:hAnsi="宋体" w:cs="宋体"/>
          <w:szCs w:val="21"/>
        </w:rPr>
        <w:t>12.4.4 进度款审核和支付</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除专用合同条款另有约定外，监理人应在收到承包人进度付款申请单以及相关资料后7天内完成审查并报送发包人，发包人应在收到后7天内完成审批并签发进度款支付证书。发包人逾期未完成审批且未提出异议的，视为已签发进度款支付证书。</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和监理人对承包人的进度付款申请单有异议的，有权要求承包人修正和提供补充资料，承包人应提交修正后的进度付款申请单。监理人应在收到承包人修正后的进度付款申请单及相关资料后7天内完成审查并报送发包人，发包人应在收到监理人报送的进度付款申请单及相关资料后7天内，向承包人签发无异议部分的临时进度款支付证书。存在争议的部分，按照第20条〔争议解决〕的约定处理。</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（2）除专用合同条款另有约定外，发包人应在进度款支付证书或临时进度款支付证书签发后14天内完成支付，发包人逾期支付进度款的，应按照中国人民银行发布的同期同类贷款基准利率支付违约金。</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（3）发包人签发进度款支付证书或临时进度款支付证书，不表明发包人已同意、批准或接受了承包人完成的相应部分的工作。</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12.4.5 进度付款的修正</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在对已签发的进度款支付证书进行阶段汇总和复核中发现错误、遗漏或重复的，发包人和承包人均有权提出修正申请。经发包人和承包人同意的修正，应在下期进度付款中支付或扣除。</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12.4.6 支付分解表</w:t>
      </w:r>
    </w:p>
    <w:p>
      <w:pPr>
        <w:ind w:firstLine="420" w:firstLineChars="200"/>
        <w:jc w:val="left"/>
        <w:rPr>
          <w:rFonts w:ascii="宋体" w:hAnsi="宋体" w:cs="宋体"/>
          <w:kern w:val="0"/>
          <w:szCs w:val="21"/>
        </w:rPr>
      </w:pPr>
      <w:r>
        <w:rPr>
          <w:rFonts w:hint="eastAsia" w:ascii="宋体" w:hAnsi="宋体" w:cs="宋体"/>
          <w:kern w:val="0"/>
          <w:szCs w:val="21"/>
        </w:rPr>
        <w:t>1.支付分解表的编制要求</w:t>
      </w:r>
    </w:p>
    <w:p>
      <w:pPr>
        <w:ind w:firstLine="420" w:firstLineChars="200"/>
        <w:jc w:val="left"/>
        <w:rPr>
          <w:rFonts w:ascii="宋体" w:hAnsi="宋体" w:cs="宋体"/>
          <w:kern w:val="0"/>
          <w:szCs w:val="21"/>
        </w:rPr>
      </w:pPr>
      <w:r>
        <w:rPr>
          <w:rFonts w:hint="eastAsia" w:ascii="宋体" w:hAnsi="宋体" w:cs="宋体"/>
          <w:kern w:val="0"/>
          <w:szCs w:val="21"/>
        </w:rPr>
        <w:t>（1）支付分解表中所列的每期付款金额，应为第12.4.2项〔进度付款申请单的编制〕第（1）目的估算金额；</w:t>
      </w:r>
    </w:p>
    <w:p>
      <w:pPr>
        <w:ind w:firstLine="420" w:firstLineChars="200"/>
        <w:jc w:val="left"/>
        <w:rPr>
          <w:rFonts w:ascii="宋体" w:hAnsi="宋体" w:cs="宋体"/>
          <w:kern w:val="0"/>
          <w:szCs w:val="21"/>
        </w:rPr>
      </w:pPr>
      <w:r>
        <w:rPr>
          <w:rFonts w:hint="eastAsia" w:ascii="宋体" w:hAnsi="宋体" w:cs="宋体"/>
          <w:kern w:val="0"/>
          <w:szCs w:val="21"/>
        </w:rPr>
        <w:t>（2）实际进度与施工进度计划不一致的，合同当事人可按照第4.4款〔商定或确定〕修改支付分解表；</w:t>
      </w:r>
    </w:p>
    <w:p>
      <w:pPr>
        <w:ind w:firstLine="420" w:firstLineChars="200"/>
        <w:jc w:val="left"/>
        <w:rPr>
          <w:rFonts w:ascii="宋体" w:hAnsi="宋体" w:cs="宋体"/>
          <w:kern w:val="0"/>
          <w:szCs w:val="21"/>
        </w:rPr>
      </w:pPr>
      <w:r>
        <w:rPr>
          <w:rFonts w:hint="eastAsia" w:ascii="宋体" w:hAnsi="宋体" w:cs="宋体"/>
          <w:kern w:val="0"/>
          <w:szCs w:val="21"/>
        </w:rPr>
        <w:t>（3）不采用支付分解表的，承包人应向发包人和监理人提交按季度编制的支付估算分解表，用于支付参考。</w:t>
      </w:r>
    </w:p>
    <w:p>
      <w:pPr>
        <w:ind w:firstLine="420" w:firstLineChars="200"/>
        <w:jc w:val="left"/>
        <w:rPr>
          <w:rFonts w:ascii="宋体" w:hAnsi="宋体" w:cs="宋体"/>
          <w:kern w:val="0"/>
          <w:szCs w:val="21"/>
        </w:rPr>
      </w:pPr>
      <w:r>
        <w:rPr>
          <w:rFonts w:hint="eastAsia" w:ascii="宋体" w:hAnsi="宋体" w:cs="宋体"/>
          <w:kern w:val="0"/>
          <w:szCs w:val="21"/>
        </w:rPr>
        <w:t>2.总价合同支付分解表的编制与审批</w:t>
      </w:r>
    </w:p>
    <w:p>
      <w:pPr>
        <w:ind w:firstLine="420" w:firstLineChars="200"/>
        <w:jc w:val="left"/>
        <w:rPr>
          <w:rFonts w:ascii="宋体" w:hAnsi="宋体" w:cs="宋体"/>
          <w:kern w:val="0"/>
          <w:szCs w:val="21"/>
        </w:rPr>
      </w:pPr>
      <w:r>
        <w:rPr>
          <w:rFonts w:hint="eastAsia" w:ascii="宋体" w:hAnsi="宋体" w:cs="宋体"/>
          <w:kern w:val="0"/>
          <w:szCs w:val="21"/>
        </w:rPr>
        <w:t>（1）除专用合同条款另有约定外，承包人应根据第7.2款〔施工进度计划〕约定的施工进度计划、签约合同价和工程量等因素对总价合同按月进行分解，编制支付分解表。承包人应当在收到监理人和发包人批准的施工进度计划后7天内，将支付分解表及编制支付分解表的支持性资料报送监理人。</w:t>
      </w:r>
    </w:p>
    <w:p>
      <w:pPr>
        <w:ind w:firstLine="420" w:firstLineChars="200"/>
        <w:jc w:val="left"/>
        <w:rPr>
          <w:rFonts w:ascii="宋体" w:hAnsi="宋体" w:cs="宋体"/>
          <w:kern w:val="0"/>
          <w:szCs w:val="21"/>
        </w:rPr>
      </w:pPr>
      <w:r>
        <w:rPr>
          <w:rFonts w:hint="eastAsia" w:ascii="宋体" w:hAnsi="宋体" w:cs="宋体"/>
          <w:kern w:val="0"/>
          <w:szCs w:val="21"/>
        </w:rPr>
        <w:t>（2）监理人应在收到支付分解表后7天内完成审核并报送发包人。发包人应在收到经监理人审核的支付分解表后7天内完成审批，经发包人批准的支付分解表为有约束力的支付分解表。</w:t>
      </w:r>
    </w:p>
    <w:p>
      <w:pPr>
        <w:jc w:val="left"/>
        <w:rPr>
          <w:rFonts w:ascii="宋体" w:hAnsi="宋体" w:cs="宋体"/>
          <w:kern w:val="0"/>
          <w:szCs w:val="21"/>
        </w:rPr>
      </w:pPr>
      <w:r>
        <w:rPr>
          <w:rFonts w:hint="eastAsia" w:ascii="宋体" w:hAnsi="宋体" w:cs="宋体"/>
          <w:kern w:val="0"/>
          <w:szCs w:val="21"/>
        </w:rPr>
        <w:t>（3）发包人逾期未完成支付分解表审批的，也未及时要求承包人进行修正和提供补充资料的，则承包人提交的支付分解表视为已经获得发包人批准。</w:t>
      </w:r>
    </w:p>
    <w:p>
      <w:pPr>
        <w:ind w:firstLine="420" w:firstLineChars="200"/>
        <w:jc w:val="left"/>
        <w:rPr>
          <w:rFonts w:ascii="宋体" w:hAnsi="宋体" w:cs="宋体"/>
          <w:kern w:val="0"/>
          <w:szCs w:val="21"/>
        </w:rPr>
      </w:pPr>
      <w:r>
        <w:rPr>
          <w:rFonts w:hint="eastAsia" w:ascii="宋体" w:hAnsi="宋体" w:cs="宋体"/>
          <w:kern w:val="0"/>
          <w:szCs w:val="21"/>
        </w:rPr>
        <w:t>3.单价合同的总价项目支付分解表的编制与审批</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kern w:val="0"/>
          <w:szCs w:val="21"/>
        </w:rPr>
      </w:pPr>
      <w:r>
        <w:rPr>
          <w:rFonts w:hint="eastAsia" w:ascii="宋体" w:hAnsi="宋体" w:cs="宋体"/>
          <w:kern w:val="0"/>
          <w:szCs w:val="21"/>
        </w:rPr>
        <w:t>除专用合同条款另有约定外，单价合同的总价项目，由承包人根据施工进度计划和总价项目的总价构成、费用性质、计划发生时间和相应工程量等因素按月进行分解，形成支付分解表，其编制与审批参照总价合同支付分解表的编制与审批执行。</w:t>
      </w:r>
    </w:p>
    <w:p>
      <w:pPr>
        <w:keepNext w:val="0"/>
        <w:keepLines w:val="0"/>
        <w:pageBreakBefore w:val="0"/>
        <w:widowControl w:val="0"/>
        <w:tabs>
          <w:tab w:val="left" w:pos="1008"/>
        </w:tabs>
        <w:kinsoku/>
        <w:wordWrap/>
        <w:overflowPunct/>
        <w:topLinePunct w:val="0"/>
        <w:autoSpaceDE/>
        <w:autoSpaceDN/>
        <w:bidi w:val="0"/>
        <w:adjustRightInd/>
        <w:snapToGrid/>
        <w:jc w:val="left"/>
        <w:textAlignment w:val="auto"/>
        <w:outlineLvl w:val="4"/>
        <w:rPr>
          <w:rFonts w:ascii="宋体" w:hAnsi="宋体" w:cs="宋体"/>
          <w:kern w:val="0"/>
          <w:szCs w:val="21"/>
        </w:rPr>
      </w:pPr>
      <w:bookmarkStart w:id="369" w:name="_Toc351203585"/>
      <w:r>
        <w:rPr>
          <w:rFonts w:hint="eastAsia" w:ascii="宋体" w:hAnsi="宋体" w:cs="宋体"/>
          <w:kern w:val="0"/>
          <w:szCs w:val="21"/>
        </w:rPr>
        <w:t>12.5支付账户</w:t>
      </w:r>
      <w:bookmarkEnd w:id="369"/>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kern w:val="0"/>
          <w:szCs w:val="21"/>
        </w:rPr>
      </w:pPr>
      <w:r>
        <w:rPr>
          <w:rFonts w:hint="eastAsia" w:ascii="宋体" w:hAnsi="宋体" w:cs="宋体"/>
          <w:kern w:val="0"/>
          <w:szCs w:val="21"/>
        </w:rPr>
        <w:t>发包人应将合同价款支付至合同协议书中约定的承包人账户。</w:t>
      </w:r>
    </w:p>
    <w:p>
      <w:pPr>
        <w:keepNext w:val="0"/>
        <w:keepLines w:val="0"/>
        <w:pageBreakBefore w:val="0"/>
        <w:widowControl w:val="0"/>
        <w:tabs>
          <w:tab w:val="left" w:pos="864"/>
        </w:tabs>
        <w:kinsoku/>
        <w:wordWrap/>
        <w:overflowPunct/>
        <w:topLinePunct w:val="0"/>
        <w:autoSpaceDE/>
        <w:autoSpaceDN/>
        <w:bidi w:val="0"/>
        <w:adjustRightInd/>
        <w:snapToGrid/>
        <w:jc w:val="left"/>
        <w:textAlignment w:val="auto"/>
        <w:outlineLvl w:val="3"/>
        <w:rPr>
          <w:rFonts w:ascii="宋体" w:hAnsi="宋体" w:cs="宋体"/>
          <w:kern w:val="0"/>
          <w:szCs w:val="21"/>
        </w:rPr>
      </w:pPr>
      <w:bookmarkStart w:id="370" w:name="_Toc351203586"/>
      <w:bookmarkStart w:id="371" w:name="_Toc337558804"/>
      <w:bookmarkStart w:id="372" w:name="_Toc322522574"/>
      <w:bookmarkStart w:id="373" w:name="_Toc296503106"/>
      <w:bookmarkStart w:id="374" w:name="_Toc296346607"/>
      <w:r>
        <w:rPr>
          <w:rFonts w:hint="eastAsia" w:ascii="宋体" w:hAnsi="宋体" w:cs="宋体"/>
          <w:kern w:val="0"/>
          <w:szCs w:val="21"/>
        </w:rPr>
        <w:t>13. 验收和工程试车</w:t>
      </w:r>
      <w:bookmarkEnd w:id="370"/>
    </w:p>
    <w:bookmarkEnd w:id="371"/>
    <w:bookmarkEnd w:id="372"/>
    <w:bookmarkEnd w:id="373"/>
    <w:bookmarkEnd w:id="374"/>
    <w:p>
      <w:pPr>
        <w:keepNext w:val="0"/>
        <w:keepLines w:val="0"/>
        <w:pageBreakBefore w:val="0"/>
        <w:widowControl w:val="0"/>
        <w:tabs>
          <w:tab w:val="left" w:pos="1008"/>
        </w:tabs>
        <w:kinsoku/>
        <w:wordWrap/>
        <w:overflowPunct/>
        <w:topLinePunct w:val="0"/>
        <w:autoSpaceDE/>
        <w:autoSpaceDN/>
        <w:bidi w:val="0"/>
        <w:adjustRightInd/>
        <w:snapToGrid/>
        <w:jc w:val="left"/>
        <w:textAlignment w:val="auto"/>
        <w:outlineLvl w:val="4"/>
        <w:rPr>
          <w:rFonts w:ascii="宋体" w:hAnsi="宋体" w:cs="宋体"/>
          <w:kern w:val="0"/>
          <w:szCs w:val="21"/>
        </w:rPr>
      </w:pPr>
      <w:bookmarkStart w:id="375" w:name="_Toc351203587"/>
      <w:bookmarkStart w:id="376" w:name="_Toc337558805"/>
      <w:bookmarkStart w:id="377" w:name="_Toc296346611"/>
      <w:bookmarkStart w:id="378" w:name="_Toc296503110"/>
      <w:r>
        <w:rPr>
          <w:rFonts w:hint="eastAsia" w:ascii="宋体" w:hAnsi="宋体" w:cs="宋体"/>
          <w:kern w:val="0"/>
          <w:szCs w:val="21"/>
        </w:rPr>
        <w:t>13.1分部分项工程验收</w:t>
      </w:r>
      <w:bookmarkEnd w:id="375"/>
    </w:p>
    <w:bookmarkEnd w:id="376"/>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szCs w:val="21"/>
        </w:rPr>
        <w:t>13.1.1 分部分项工程质量应符合国家有关工程施工验收规范、标准及合同约定，承包人应按照施工组织设计的要求完成分部分项工程施工。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szCs w:val="21"/>
        </w:rPr>
        <w:t>13.1.2 除专用合同条款另有约定外，分部分项工程经承包人自检合格并具备验收条件的，承包人应提前48小时通知监理人进行验收。</w:t>
      </w:r>
      <w:r>
        <w:rPr>
          <w:rFonts w:hint="eastAsia" w:ascii="宋体" w:hAnsi="宋体" w:cs="宋体"/>
          <w:kern w:val="0"/>
          <w:szCs w:val="21"/>
        </w:rPr>
        <w:t>监理人不能按时进行验收的，应在验收前24小时向承包人提交书面延期要求，但延期不能超过48小时。监理人未按时进行验收，也未提出延期要求的，承包人有权自行验收，监理人应认可验收结果。</w:t>
      </w:r>
      <w:r>
        <w:rPr>
          <w:rFonts w:hint="eastAsia" w:ascii="宋体" w:hAnsi="宋体" w:cs="宋体"/>
          <w:szCs w:val="21"/>
        </w:rPr>
        <w:t>分部分项工程未经验收的，不得进入下一道工序施工。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szCs w:val="21"/>
        </w:rPr>
        <w:t>分部分项工程的验收资料应当作为竣工资料的组成部分。</w:t>
      </w:r>
    </w:p>
    <w:p>
      <w:pPr>
        <w:keepNext w:val="0"/>
        <w:keepLines w:val="0"/>
        <w:pageBreakBefore w:val="0"/>
        <w:widowControl w:val="0"/>
        <w:tabs>
          <w:tab w:val="left" w:pos="1008"/>
        </w:tabs>
        <w:kinsoku/>
        <w:wordWrap/>
        <w:overflowPunct/>
        <w:topLinePunct w:val="0"/>
        <w:autoSpaceDE/>
        <w:autoSpaceDN/>
        <w:bidi w:val="0"/>
        <w:adjustRightInd/>
        <w:snapToGrid/>
        <w:jc w:val="left"/>
        <w:textAlignment w:val="auto"/>
        <w:outlineLvl w:val="4"/>
        <w:rPr>
          <w:rFonts w:ascii="宋体" w:hAnsi="宋体" w:cs="宋体"/>
          <w:kern w:val="0"/>
          <w:szCs w:val="21"/>
        </w:rPr>
      </w:pPr>
      <w:bookmarkStart w:id="379" w:name="_Toc351203588"/>
      <w:bookmarkStart w:id="380" w:name="_Toc337558806"/>
      <w:r>
        <w:rPr>
          <w:rFonts w:hint="eastAsia" w:ascii="宋体" w:hAnsi="宋体" w:cs="宋体"/>
          <w:kern w:val="0"/>
          <w:szCs w:val="21"/>
        </w:rPr>
        <w:t>13.2竣工验收</w:t>
      </w:r>
      <w:bookmarkEnd w:id="379"/>
    </w:p>
    <w:bookmarkEnd w:id="377"/>
    <w:bookmarkEnd w:id="378"/>
    <w:bookmarkEnd w:id="380"/>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kern w:val="0"/>
          <w:szCs w:val="21"/>
        </w:rPr>
      </w:pPr>
      <w:r>
        <w:rPr>
          <w:rFonts w:hint="eastAsia" w:ascii="宋体" w:hAnsi="宋体" w:cs="宋体"/>
          <w:kern w:val="0"/>
          <w:szCs w:val="21"/>
        </w:rPr>
        <w:t>13.2.1竣工验收条件</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kern w:val="0"/>
          <w:szCs w:val="21"/>
        </w:rPr>
      </w:pPr>
      <w:r>
        <w:rPr>
          <w:rFonts w:hint="eastAsia" w:ascii="宋体" w:hAnsi="宋体" w:cs="宋体"/>
          <w:kern w:val="0"/>
          <w:szCs w:val="21"/>
        </w:rPr>
        <w:t>工程具备以下条件的，承包人可以申请竣工验收：</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kern w:val="0"/>
          <w:szCs w:val="21"/>
        </w:rPr>
      </w:pPr>
      <w:r>
        <w:rPr>
          <w:rFonts w:hint="eastAsia" w:ascii="宋体" w:hAnsi="宋体" w:cs="宋体"/>
          <w:kern w:val="0"/>
          <w:szCs w:val="21"/>
        </w:rPr>
        <w:t>（1）除发包人同意的甩项工作和缺陷修补工作外，合同范围内的全部工程以及有关工作，包括合同要求的试验、试运行以及检验均已完成，并符合合同要求；</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kern w:val="0"/>
          <w:szCs w:val="21"/>
        </w:rPr>
      </w:pPr>
      <w:r>
        <w:rPr>
          <w:rFonts w:hint="eastAsia" w:ascii="宋体" w:hAnsi="宋体" w:cs="宋体"/>
          <w:kern w:val="0"/>
          <w:szCs w:val="21"/>
        </w:rPr>
        <w:t>（2）已按合同约定编制了甩项工作和缺陷修补工作清单以及相应的施工计划；</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kern w:val="0"/>
          <w:szCs w:val="21"/>
        </w:rPr>
      </w:pPr>
      <w:r>
        <w:rPr>
          <w:rFonts w:hint="eastAsia" w:ascii="宋体" w:hAnsi="宋体" w:cs="宋体"/>
          <w:kern w:val="0"/>
          <w:szCs w:val="21"/>
        </w:rPr>
        <w:t>（3）已按合同约定的内容和份数备齐竣工资料。</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kern w:val="0"/>
          <w:szCs w:val="21"/>
        </w:rPr>
      </w:pPr>
      <w:r>
        <w:rPr>
          <w:rFonts w:hint="eastAsia" w:ascii="宋体" w:hAnsi="宋体" w:cs="宋体"/>
          <w:kern w:val="0"/>
          <w:szCs w:val="21"/>
        </w:rPr>
        <w:t>13.2.2竣工验收程序</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kern w:val="0"/>
          <w:szCs w:val="21"/>
        </w:rPr>
      </w:pPr>
      <w:r>
        <w:rPr>
          <w:rFonts w:hint="eastAsia" w:ascii="宋体" w:hAnsi="宋体" w:cs="宋体"/>
          <w:kern w:val="0"/>
          <w:szCs w:val="21"/>
        </w:rPr>
        <w:t>除专用合同条款另有约定外，承包人申请竣工验收的，应当按照以下程序进行：</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kern w:val="0"/>
          <w:szCs w:val="21"/>
        </w:rPr>
      </w:pPr>
      <w:r>
        <w:rPr>
          <w:rFonts w:hint="eastAsia" w:ascii="宋体" w:hAnsi="宋体" w:cs="宋体"/>
          <w:kern w:val="0"/>
          <w:szCs w:val="21"/>
        </w:rPr>
        <w:t>（1）承包人向监理人报送竣工验收申请报告，监理人应在收到竣工验收申请报告后14天内完成审查并报送发包人。监理人审查后认为尚不具备验收条件的，应通知承包人在竣工验收前承包人还需完成的工作内容，承包人应在完成监理人通知的全部工作内容后，再次提交竣工验收申请报告。</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kern w:val="0"/>
          <w:szCs w:val="21"/>
        </w:rPr>
      </w:pPr>
      <w:r>
        <w:rPr>
          <w:rFonts w:hint="eastAsia" w:ascii="宋体" w:hAnsi="宋体" w:cs="宋体"/>
          <w:kern w:val="0"/>
          <w:szCs w:val="21"/>
        </w:rPr>
        <w:t>（2）监理人审查后认为已具备竣工验收条件的，应将竣工验收申请报告提交发包人，发包人应在收到经监理人审核的竣工验收申请报告后28天内审批完毕并组织监理人、承包人、设计人等相关单位完成竣工验收。</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kern w:val="0"/>
          <w:szCs w:val="21"/>
        </w:rPr>
      </w:pPr>
      <w:r>
        <w:rPr>
          <w:rFonts w:hint="eastAsia" w:ascii="宋体" w:hAnsi="宋体" w:cs="宋体"/>
          <w:kern w:val="0"/>
          <w:szCs w:val="21"/>
        </w:rPr>
        <w:t>（3）竣工验收合格的，发包人应在验收合格后14天内向承包人签发工程接收证书。发包人无正当理由逾期不颁发工程接收证书的，自验收合格后第15天起视为已颁发工程接收证书。</w:t>
      </w:r>
    </w:p>
    <w:p>
      <w:pPr>
        <w:ind w:firstLine="420" w:firstLineChars="200"/>
        <w:jc w:val="left"/>
        <w:rPr>
          <w:rFonts w:ascii="宋体" w:hAnsi="宋体" w:cs="宋体"/>
          <w:kern w:val="0"/>
          <w:szCs w:val="21"/>
        </w:rPr>
      </w:pPr>
      <w:r>
        <w:rPr>
          <w:rFonts w:hint="eastAsia" w:ascii="宋体" w:hAnsi="宋体" w:cs="宋体"/>
          <w:kern w:val="0"/>
          <w:szCs w:val="21"/>
        </w:rPr>
        <w:t>（4）竣工验收不合格的，监理人应按照验收意见发出指示，要求承包人对不合格工程返工、修复或采取其他补救措施，由此增加的费用和（或）延误的工期由承包人承担。承包人在完成不合格工程的返工、修复或采取其他补救措施后，应重新提交竣工验收申请报告，并按本项约定的程序重新进行验收。</w:t>
      </w:r>
    </w:p>
    <w:p>
      <w:pPr>
        <w:ind w:firstLine="420" w:firstLineChars="200"/>
        <w:jc w:val="left"/>
        <w:rPr>
          <w:rFonts w:ascii="宋体" w:hAnsi="宋体" w:cs="宋体"/>
          <w:kern w:val="0"/>
          <w:szCs w:val="21"/>
        </w:rPr>
      </w:pPr>
      <w:r>
        <w:rPr>
          <w:rFonts w:hint="eastAsia" w:ascii="宋体" w:hAnsi="宋体" w:cs="宋体"/>
          <w:kern w:val="0"/>
          <w:szCs w:val="21"/>
        </w:rPr>
        <w:t>（5）工程未经验收或验收不合格，发包人擅自使用的，应在转移占有工程后7天内向承包人颁发工程接收证书；发包人无正当理由逾期不颁发工程接收证书的，自转移占有后第15天起视为已颁发工程接收证书。</w:t>
      </w:r>
    </w:p>
    <w:p>
      <w:pPr>
        <w:ind w:firstLine="420" w:firstLineChars="200"/>
        <w:jc w:val="left"/>
        <w:rPr>
          <w:rFonts w:ascii="宋体" w:hAnsi="宋体" w:cs="宋体"/>
          <w:kern w:val="0"/>
          <w:szCs w:val="21"/>
        </w:rPr>
      </w:pPr>
      <w:r>
        <w:rPr>
          <w:rFonts w:hint="eastAsia" w:ascii="宋体" w:hAnsi="宋体" w:cs="宋体"/>
          <w:kern w:val="0"/>
          <w:szCs w:val="21"/>
        </w:rPr>
        <w:t>除专用合同条款另有约定外，发包人不按照本项约定组织竣工验收、颁发工程接收证书的，每逾期一天，应以签约合同价为基数，按照中国人民银行发布的同期同类贷款基准利率支付违约金。</w:t>
      </w:r>
    </w:p>
    <w:p>
      <w:pPr>
        <w:ind w:firstLine="420" w:firstLineChars="200"/>
        <w:jc w:val="left"/>
        <w:rPr>
          <w:rFonts w:ascii="宋体" w:hAnsi="宋体" w:cs="宋体"/>
          <w:kern w:val="0"/>
          <w:szCs w:val="21"/>
        </w:rPr>
      </w:pPr>
      <w:r>
        <w:rPr>
          <w:rFonts w:hint="eastAsia" w:ascii="宋体" w:hAnsi="宋体" w:cs="宋体"/>
          <w:kern w:val="0"/>
          <w:szCs w:val="21"/>
        </w:rPr>
        <w:t>13.2.3竣工日期</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工程经竣工验收合格的，以承包人提交竣工验收申请报告之日为实际竣工日期，并在工程接收证书中载明；因发包人原因，未在监理人收到承包人提交的竣工验收申请报告42天内完成竣工验收，或完成竣工验收不予签发工程接收证书的，以提交竣工验</w:t>
      </w:r>
      <w:bookmarkStart w:id="381" w:name="#go14"/>
      <w:bookmarkEnd w:id="381"/>
      <w:r>
        <w:rPr>
          <w:rFonts w:hint="eastAsia" w:ascii="宋体" w:hAnsi="宋体" w:cs="宋体"/>
          <w:kern w:val="0"/>
          <w:szCs w:val="21"/>
        </w:rPr>
        <w:t>收申请报告的日期为实际竣工日期；工程未经竣工验收，发包人擅自使用的，以转移占有工程之日为实际竣工日期。</w:t>
      </w:r>
    </w:p>
    <w:p>
      <w:pPr>
        <w:autoSpaceDE w:val="0"/>
        <w:autoSpaceDN w:val="0"/>
        <w:adjustRightInd w:val="0"/>
        <w:ind w:firstLine="420" w:firstLineChars="200"/>
        <w:jc w:val="left"/>
        <w:rPr>
          <w:rFonts w:ascii="宋体" w:hAnsi="宋体" w:cs="宋体"/>
          <w:szCs w:val="21"/>
        </w:rPr>
      </w:pPr>
      <w:r>
        <w:rPr>
          <w:rFonts w:hint="eastAsia" w:ascii="宋体" w:hAnsi="宋体" w:cs="宋体"/>
          <w:szCs w:val="21"/>
        </w:rPr>
        <w:t>13.2.4 拒绝接收全部或部分工程</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对于竣工验收不合格的工程，承包人完成整改后，应当重新进行竣工验收，经重新组织验收仍不合格的且无法采取措施补救的，则发包人可以拒绝接收不合格工程，因不合格工程导致其他工程不能正常使用的，承包人应采取措施确保相关工程的正常使用，由此增加的费用和（或）延误的工期由承包人承担。</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13.2.5 移交、接收全部与部分工程</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除专用合同条款另有约定外，合同当事人应当在颁发工程接收证书后7天内完成工程的移交。</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发包人无正当理由不接收工程的，发包人自应当接收工程之日起，承担工程照管、成品保护、保管等与工程有关的各项费用，合同当事人可以在专用合同条款中另行约定发包人逾期接收工程的违约责任。</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承包人无正当理由不移交工程的，承包人应承担工程照管、成品保护、保管等与工程有关的各项费用，合同当事人可以在专用合同条款中另行约定承包人无正当理由不移交工程的违约责任。</w:t>
      </w:r>
    </w:p>
    <w:p>
      <w:pPr>
        <w:keepNext w:val="0"/>
        <w:keepLines w:val="0"/>
        <w:pageBreakBefore w:val="0"/>
        <w:widowControl w:val="0"/>
        <w:tabs>
          <w:tab w:val="left" w:pos="1008"/>
        </w:tabs>
        <w:kinsoku/>
        <w:wordWrap/>
        <w:overflowPunct/>
        <w:topLinePunct w:val="0"/>
        <w:bidi w:val="0"/>
        <w:snapToGrid/>
        <w:jc w:val="left"/>
        <w:textAlignment w:val="auto"/>
        <w:outlineLvl w:val="4"/>
        <w:rPr>
          <w:rFonts w:ascii="宋体" w:hAnsi="宋体" w:cs="宋体"/>
          <w:kern w:val="0"/>
          <w:szCs w:val="21"/>
        </w:rPr>
      </w:pPr>
      <w:bookmarkStart w:id="382" w:name="_Toc351203589"/>
      <w:bookmarkStart w:id="383" w:name="_Toc296346612"/>
      <w:bookmarkStart w:id="384" w:name="_Toc337558807"/>
      <w:bookmarkStart w:id="385" w:name="_Toc296503111"/>
      <w:r>
        <w:rPr>
          <w:rFonts w:hint="eastAsia" w:ascii="宋体" w:hAnsi="宋体" w:cs="宋体"/>
          <w:kern w:val="0"/>
          <w:szCs w:val="21"/>
        </w:rPr>
        <w:t>13.3工程试车</w:t>
      </w:r>
      <w:bookmarkEnd w:id="382"/>
    </w:p>
    <w:bookmarkEnd w:id="383"/>
    <w:bookmarkEnd w:id="384"/>
    <w:bookmarkEnd w:id="385"/>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13.3.1试车程序</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工程需要试车的，除专用合同条款另有约定外，试车内容应与承包人承包范围相一致，试车费用由承包人承担。工程试车应按如下程序进行：</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1）具备单机无负荷试车条件，承包人组织试车，并在试车前48小时书面通知监理人，通知中应载明试车内容、时间、地点。承包人准备试车记录，发包人根据承包人要求为试车提供必要条件。试车合格的，监理人在试车记录上签字。监理人在试车合格后不在试车记录上签字，自试车结束满24小时后视为监理人已经认可试车记录，承包人可继续施工或办理竣工验收手续。</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监理人不能按时参加试车，应在试车前24小时以书面形式向承包人提出延期要求，但延期不能超过48小时，由此导致工期延误的，工期应予以顺延。监理人未能在前述期限内提出延期要求，又不参加试车的，视为认可试车记录。</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2）具备无负荷联动试车条件，发包人组织试车，并在试车前48小时以书面形式通知承包人。通知中应载明试车内容、时间、地点和对承包人的要求，承包人按要求做好准备工作。试车合格，合同当事人在试车记录上签字。承包人无正当理由不参加试车的，视为认可试车记录。</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13.3.2 试车中的责任</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因设计原因导致试车达不到验收要求，发包人应要求设计人修改设计，承包人按修改后的设计重新安装。发包人承担修改设计、拆除及重新安装的全部费用，工期相应顺延。因承包人原因导致试车达不到验收要求，承包人按监理人要求重新安装和试车，并承担重新安装和试车的费用，工期不予顺延。</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因工程设备制造原因导致试车达不到验收要求的，由采购该工程设备的合同当事人负责重新购置或修理，承包人负责拆除和重新安装，由此增加的修理、重新购置、拆除及重新安装的费用及延误的工期由采购该工程设备的合同当事人承担。</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13.3.3 投料试车</w:t>
      </w:r>
    </w:p>
    <w:p>
      <w:pPr>
        <w:ind w:firstLine="420" w:firstLineChars="200"/>
        <w:jc w:val="left"/>
        <w:rPr>
          <w:rFonts w:ascii="宋体" w:hAnsi="宋体" w:cs="宋体"/>
          <w:kern w:val="0"/>
          <w:szCs w:val="21"/>
        </w:rPr>
      </w:pPr>
      <w:r>
        <w:rPr>
          <w:rFonts w:hint="eastAsia" w:ascii="宋体" w:hAnsi="宋体" w:cs="宋体"/>
          <w:kern w:val="0"/>
          <w:szCs w:val="21"/>
        </w:rPr>
        <w:t>如需进行投料试车的，发包人应在工程竣工验收后组织投料试车。发包人要求在工程竣工验收前进行或需要承包人配合时，应征得承包人同意，并在专用合同条款中约定有关事项。</w:t>
      </w:r>
    </w:p>
    <w:p>
      <w:pPr>
        <w:ind w:firstLine="420" w:firstLineChars="200"/>
        <w:jc w:val="left"/>
        <w:rPr>
          <w:rFonts w:ascii="宋体" w:hAnsi="宋体" w:cs="宋体"/>
          <w:kern w:val="0"/>
          <w:szCs w:val="21"/>
        </w:rPr>
      </w:pPr>
      <w:r>
        <w:rPr>
          <w:rFonts w:hint="eastAsia" w:ascii="宋体" w:hAnsi="宋体" w:cs="宋体"/>
          <w:kern w:val="0"/>
          <w:szCs w:val="21"/>
        </w:rPr>
        <w:t>投料试车合格的，费用由发包人承担；因承包人原因造成投料试车不合格的，承包人应按照发包人要求进行整改，由此产生的整改费用由承包人承担；非因承包人原因导致投料试车不合格的，如发包人要求承包人进行整改的，由此产生的费用由发包人承担。</w:t>
      </w:r>
    </w:p>
    <w:p>
      <w:pPr>
        <w:keepNext/>
        <w:keepLines/>
        <w:tabs>
          <w:tab w:val="left" w:pos="1008"/>
        </w:tabs>
        <w:jc w:val="left"/>
        <w:outlineLvl w:val="4"/>
        <w:rPr>
          <w:rFonts w:ascii="宋体" w:hAnsi="宋体" w:cs="宋体"/>
          <w:kern w:val="0"/>
          <w:szCs w:val="21"/>
        </w:rPr>
      </w:pPr>
      <w:bookmarkStart w:id="386" w:name="_Toc351203590"/>
      <w:bookmarkStart w:id="387" w:name="_Toc337558808"/>
      <w:r>
        <w:rPr>
          <w:rFonts w:hint="eastAsia" w:ascii="宋体" w:hAnsi="宋体" w:cs="宋体"/>
          <w:kern w:val="0"/>
          <w:szCs w:val="21"/>
        </w:rPr>
        <w:t>13.4提前交付单位工程的验收</w:t>
      </w:r>
      <w:bookmarkEnd w:id="386"/>
    </w:p>
    <w:bookmarkEnd w:id="387"/>
    <w:p>
      <w:pPr>
        <w:ind w:firstLine="420" w:firstLineChars="200"/>
        <w:jc w:val="left"/>
        <w:rPr>
          <w:rFonts w:ascii="宋体" w:hAnsi="宋体" w:cs="宋体"/>
          <w:kern w:val="0"/>
          <w:szCs w:val="21"/>
        </w:rPr>
      </w:pPr>
      <w:r>
        <w:rPr>
          <w:rFonts w:hint="eastAsia" w:ascii="宋体" w:hAnsi="宋体" w:cs="宋体"/>
          <w:kern w:val="0"/>
          <w:szCs w:val="21"/>
        </w:rPr>
        <w:t>13.4.1 发包人需要在工程竣工前使用单位工程的，或承包人提出提前交付已经竣工的单位工程且经发包人同意的，可进行单位工程验收，验收的程序按照第13.2款〔竣工验收〕的约定进行。</w:t>
      </w:r>
    </w:p>
    <w:p>
      <w:pPr>
        <w:ind w:firstLine="420" w:firstLineChars="200"/>
        <w:jc w:val="left"/>
        <w:rPr>
          <w:rFonts w:ascii="宋体" w:hAnsi="宋体" w:cs="宋体"/>
          <w:kern w:val="0"/>
          <w:szCs w:val="21"/>
        </w:rPr>
      </w:pPr>
      <w:r>
        <w:rPr>
          <w:rFonts w:hint="eastAsia" w:ascii="宋体" w:hAnsi="宋体" w:cs="宋体"/>
          <w:kern w:val="0"/>
          <w:szCs w:val="21"/>
        </w:rPr>
        <w:t>验收合格后，由监理人向承包人出具经发包人签认的单位工程接收证书。已签发单位工程接收证书的单位工程由发包人负责照管。单位工程的验收成果和结论作为整体工程竣工验收申请报告的附件。</w:t>
      </w:r>
    </w:p>
    <w:p>
      <w:pPr>
        <w:ind w:firstLine="420" w:firstLineChars="200"/>
        <w:jc w:val="left"/>
        <w:rPr>
          <w:rFonts w:ascii="宋体" w:hAnsi="宋体" w:cs="宋体"/>
          <w:kern w:val="0"/>
          <w:szCs w:val="21"/>
        </w:rPr>
      </w:pPr>
      <w:r>
        <w:rPr>
          <w:rFonts w:hint="eastAsia" w:ascii="宋体" w:hAnsi="宋体" w:cs="宋体"/>
          <w:kern w:val="0"/>
          <w:szCs w:val="21"/>
        </w:rPr>
        <w:t>13.4.2 发包人要求在工程竣工前交付单位工程，由此导致承包人费用增加和（或）工期延误的，由发包人承担由此增加的费用和（或）延误的工期，并支付承包人合理的利润。</w:t>
      </w:r>
    </w:p>
    <w:p>
      <w:pPr>
        <w:keepNext/>
        <w:keepLines/>
        <w:tabs>
          <w:tab w:val="left" w:pos="1008"/>
        </w:tabs>
        <w:jc w:val="left"/>
        <w:outlineLvl w:val="4"/>
        <w:rPr>
          <w:rFonts w:ascii="宋体" w:hAnsi="宋体" w:cs="宋体"/>
          <w:kern w:val="0"/>
          <w:szCs w:val="21"/>
        </w:rPr>
      </w:pPr>
      <w:bookmarkStart w:id="388" w:name="_Toc351203591"/>
      <w:r>
        <w:rPr>
          <w:rFonts w:hint="eastAsia" w:ascii="宋体" w:hAnsi="宋体" w:cs="宋体"/>
          <w:kern w:val="0"/>
          <w:szCs w:val="21"/>
        </w:rPr>
        <w:t>13.5 施工期运行</w:t>
      </w:r>
      <w:bookmarkEnd w:id="388"/>
    </w:p>
    <w:p>
      <w:pPr>
        <w:ind w:firstLine="420" w:firstLineChars="200"/>
        <w:jc w:val="left"/>
        <w:rPr>
          <w:rFonts w:ascii="宋体" w:hAnsi="宋体" w:cs="宋体"/>
          <w:kern w:val="0"/>
          <w:szCs w:val="21"/>
        </w:rPr>
      </w:pPr>
      <w:r>
        <w:rPr>
          <w:rFonts w:hint="eastAsia" w:ascii="宋体" w:hAnsi="宋体" w:cs="宋体"/>
          <w:kern w:val="0"/>
          <w:szCs w:val="21"/>
        </w:rPr>
        <w:t>13.5.1 施工期运行是指合同工程尚未全部竣工，其中某项或某几项单位工程或工程设备安装已竣工，根据专用合同条款约定，需要投入施工期运行的，经发包人按第13.4款〔提前交付单位工程的验收〕的约定验收合格，证明能确保安全后，才能在施工期投入运行。</w:t>
      </w:r>
    </w:p>
    <w:p>
      <w:pPr>
        <w:ind w:firstLine="420" w:firstLineChars="200"/>
        <w:jc w:val="left"/>
        <w:rPr>
          <w:rFonts w:ascii="宋体" w:hAnsi="宋体" w:cs="宋体"/>
          <w:kern w:val="0"/>
          <w:szCs w:val="21"/>
        </w:rPr>
      </w:pPr>
      <w:r>
        <w:rPr>
          <w:rFonts w:hint="eastAsia" w:ascii="宋体" w:hAnsi="宋体" w:cs="宋体"/>
          <w:kern w:val="0"/>
          <w:szCs w:val="21"/>
        </w:rPr>
        <w:t>13.5.2 在施工期运行中发现工程或工程设备损坏或存在缺陷的，由承包人按第15.2款〔缺陷责任期〕约定进行修复。</w:t>
      </w:r>
    </w:p>
    <w:p>
      <w:pPr>
        <w:keepNext/>
        <w:keepLines/>
        <w:tabs>
          <w:tab w:val="left" w:pos="1008"/>
        </w:tabs>
        <w:jc w:val="left"/>
        <w:outlineLvl w:val="4"/>
        <w:rPr>
          <w:rFonts w:ascii="宋体" w:hAnsi="宋体" w:cs="宋体"/>
          <w:kern w:val="0"/>
          <w:szCs w:val="21"/>
        </w:rPr>
      </w:pPr>
      <w:bookmarkStart w:id="389" w:name="_Toc296503112"/>
      <w:bookmarkStart w:id="390" w:name="_Toc296346613"/>
      <w:bookmarkStart w:id="391" w:name="_Toc351203592"/>
      <w:bookmarkStart w:id="392" w:name="_Toc337558809"/>
      <w:r>
        <w:rPr>
          <w:rFonts w:hint="eastAsia" w:ascii="宋体" w:hAnsi="宋体" w:cs="宋体"/>
          <w:kern w:val="0"/>
          <w:szCs w:val="21"/>
        </w:rPr>
        <w:t>13.6 竣工退</w:t>
      </w:r>
      <w:bookmarkEnd w:id="389"/>
      <w:bookmarkEnd w:id="390"/>
      <w:r>
        <w:rPr>
          <w:rFonts w:hint="eastAsia" w:ascii="宋体" w:hAnsi="宋体" w:cs="宋体"/>
          <w:kern w:val="0"/>
          <w:szCs w:val="21"/>
        </w:rPr>
        <w:t>场</w:t>
      </w:r>
      <w:bookmarkEnd w:id="391"/>
    </w:p>
    <w:bookmarkEnd w:id="392"/>
    <w:p>
      <w:pPr>
        <w:ind w:firstLine="420" w:firstLineChars="200"/>
        <w:jc w:val="left"/>
        <w:rPr>
          <w:rFonts w:ascii="宋体" w:hAnsi="宋体" w:cs="宋体"/>
          <w:kern w:val="0"/>
          <w:szCs w:val="21"/>
        </w:rPr>
      </w:pPr>
      <w:r>
        <w:rPr>
          <w:rFonts w:hint="eastAsia" w:ascii="宋体" w:hAnsi="宋体" w:cs="宋体"/>
          <w:kern w:val="0"/>
          <w:szCs w:val="21"/>
        </w:rPr>
        <w:t>13.6.1 竣工退场</w:t>
      </w:r>
    </w:p>
    <w:p>
      <w:pPr>
        <w:ind w:firstLine="420" w:firstLineChars="200"/>
        <w:jc w:val="left"/>
        <w:rPr>
          <w:rFonts w:ascii="宋体" w:hAnsi="宋体" w:cs="宋体"/>
          <w:kern w:val="0"/>
          <w:szCs w:val="21"/>
        </w:rPr>
      </w:pPr>
      <w:r>
        <w:rPr>
          <w:rFonts w:hint="eastAsia" w:ascii="宋体" w:hAnsi="宋体" w:cs="宋体"/>
          <w:kern w:val="0"/>
          <w:szCs w:val="21"/>
        </w:rPr>
        <w:t>颁发工程接收证书后，承包人应按以下要求对施工现场进行清理：</w:t>
      </w:r>
    </w:p>
    <w:p>
      <w:pPr>
        <w:ind w:firstLine="420" w:firstLineChars="200"/>
        <w:jc w:val="left"/>
        <w:rPr>
          <w:rFonts w:ascii="宋体" w:hAnsi="宋体" w:cs="宋体"/>
          <w:kern w:val="0"/>
          <w:szCs w:val="21"/>
        </w:rPr>
      </w:pPr>
      <w:r>
        <w:rPr>
          <w:rFonts w:hint="eastAsia" w:ascii="宋体" w:hAnsi="宋体" w:cs="宋体"/>
          <w:kern w:val="0"/>
          <w:szCs w:val="21"/>
        </w:rPr>
        <w:t>（1）施工现场内残留的垃圾已全部清除出场；</w:t>
      </w:r>
    </w:p>
    <w:p>
      <w:pPr>
        <w:ind w:firstLine="420" w:firstLineChars="200"/>
        <w:jc w:val="left"/>
        <w:rPr>
          <w:rFonts w:ascii="宋体" w:hAnsi="宋体" w:cs="宋体"/>
          <w:kern w:val="0"/>
          <w:szCs w:val="21"/>
        </w:rPr>
      </w:pPr>
      <w:r>
        <w:rPr>
          <w:rFonts w:hint="eastAsia" w:ascii="宋体" w:hAnsi="宋体" w:cs="宋体"/>
          <w:kern w:val="0"/>
          <w:szCs w:val="21"/>
        </w:rPr>
        <w:t>（2）临时工程已拆除，场地已进行清理、平整或复原；</w:t>
      </w:r>
    </w:p>
    <w:p>
      <w:pPr>
        <w:ind w:firstLine="420" w:firstLineChars="200"/>
        <w:jc w:val="left"/>
        <w:rPr>
          <w:rFonts w:ascii="宋体" w:hAnsi="宋体" w:cs="宋体"/>
          <w:kern w:val="0"/>
          <w:szCs w:val="21"/>
        </w:rPr>
      </w:pPr>
      <w:r>
        <w:rPr>
          <w:rFonts w:hint="eastAsia" w:ascii="宋体" w:hAnsi="宋体" w:cs="宋体"/>
          <w:kern w:val="0"/>
          <w:szCs w:val="21"/>
        </w:rPr>
        <w:t>（3）按合同约定应撤离的人员、承包人施工设备和剩余的材料，包括废弃的施工设备和材料，已按计划撤离施工现场；</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（4）施工现场周边及其附近道路、河道的施工堆积物，已全部清理；</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（5）施工现场其他场地清理工作已全部完成。</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施工现场的竣工退场费用由承包人承担。承包人应在专用合同条款约定的期限内完成竣工退场，逾期未完成的，发包人有权出售或另行处理承包人遗留的物品，由此支出的费用由承包人承担，发包人出售承包人遗留物品所得款项在扣除必要费用后应返还承包人。</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13.6.2 地表还原</w:t>
      </w:r>
    </w:p>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承包人应按发包人要求恢复临时占地及清理场地，承包人未按发包人的要求恢复临时占地，或者场地清理未达到合同约定要求的，发包人有权委托其他人恢复或清理，所发生的费用由承包人承担。</w:t>
      </w:r>
    </w:p>
    <w:p>
      <w:pPr>
        <w:keepNext w:val="0"/>
        <w:keepLines w:val="0"/>
        <w:pageBreakBefore w:val="0"/>
        <w:widowControl w:val="0"/>
        <w:tabs>
          <w:tab w:val="left" w:pos="864"/>
        </w:tabs>
        <w:kinsoku/>
        <w:wordWrap/>
        <w:overflowPunct/>
        <w:topLinePunct w:val="0"/>
        <w:bidi w:val="0"/>
        <w:snapToGrid/>
        <w:jc w:val="left"/>
        <w:textAlignment w:val="auto"/>
        <w:outlineLvl w:val="3"/>
        <w:rPr>
          <w:rFonts w:ascii="宋体" w:hAnsi="宋体" w:cs="宋体"/>
          <w:kern w:val="0"/>
          <w:szCs w:val="21"/>
        </w:rPr>
      </w:pPr>
      <w:bookmarkStart w:id="393" w:name="_Toc351203593"/>
      <w:bookmarkStart w:id="394" w:name="_Toc337558810"/>
      <w:bookmarkStart w:id="395" w:name="_Toc296503113"/>
      <w:bookmarkStart w:id="396" w:name="_Toc296346614"/>
      <w:r>
        <w:rPr>
          <w:rFonts w:hint="eastAsia" w:ascii="宋体" w:hAnsi="宋体" w:cs="宋体"/>
          <w:kern w:val="0"/>
          <w:szCs w:val="21"/>
        </w:rPr>
        <w:t>14. 竣工结算</w:t>
      </w:r>
      <w:bookmarkEnd w:id="393"/>
    </w:p>
    <w:bookmarkEnd w:id="394"/>
    <w:p>
      <w:pPr>
        <w:keepNext w:val="0"/>
        <w:keepLines w:val="0"/>
        <w:pageBreakBefore w:val="0"/>
        <w:widowControl w:val="0"/>
        <w:tabs>
          <w:tab w:val="left" w:pos="1008"/>
        </w:tabs>
        <w:kinsoku/>
        <w:wordWrap/>
        <w:overflowPunct/>
        <w:topLinePunct w:val="0"/>
        <w:bidi w:val="0"/>
        <w:snapToGrid/>
        <w:jc w:val="left"/>
        <w:textAlignment w:val="auto"/>
        <w:outlineLvl w:val="4"/>
        <w:rPr>
          <w:rFonts w:ascii="宋体" w:hAnsi="宋体" w:cs="宋体"/>
          <w:kern w:val="0"/>
          <w:szCs w:val="21"/>
        </w:rPr>
      </w:pPr>
      <w:bookmarkStart w:id="397" w:name="_Toc351203594"/>
      <w:bookmarkStart w:id="398" w:name="_Toc337558811"/>
      <w:r>
        <w:rPr>
          <w:rFonts w:hint="eastAsia" w:ascii="宋体" w:hAnsi="宋体" w:cs="宋体"/>
          <w:kern w:val="0"/>
          <w:szCs w:val="21"/>
        </w:rPr>
        <w:t>14.1 竣工结算申请</w:t>
      </w:r>
      <w:bookmarkEnd w:id="397"/>
    </w:p>
    <w:bookmarkEnd w:id="398"/>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szCs w:val="21"/>
        </w:rPr>
      </w:pPr>
      <w:r>
        <w:rPr>
          <w:rFonts w:hint="eastAsia" w:ascii="宋体" w:hAnsi="宋体" w:cs="宋体"/>
          <w:kern w:val="0"/>
          <w:szCs w:val="21"/>
        </w:rPr>
        <w:t>除专用合同条款另有约定外，</w:t>
      </w:r>
      <w:r>
        <w:rPr>
          <w:rFonts w:hint="eastAsia" w:ascii="宋体" w:hAnsi="宋体" w:cs="宋体"/>
          <w:szCs w:val="21"/>
        </w:rPr>
        <w:t>承包人应在工程竣工验收合格后28天内向发包人和监理人提交竣工结算申请单，并提交完整的结算资料，有关竣工结算申请单的资料清单和份数等要求由合同当事人在专用合同条款中约定。</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szCs w:val="21"/>
        </w:rPr>
      </w:pPr>
      <w:r>
        <w:rPr>
          <w:rFonts w:hint="eastAsia" w:ascii="宋体" w:hAnsi="宋体" w:cs="宋体"/>
          <w:szCs w:val="21"/>
        </w:rPr>
        <w:t>除专用合同条款另有约定外，竣工结算申请单应包括以下内容：</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szCs w:val="21"/>
        </w:rPr>
      </w:pPr>
      <w:r>
        <w:rPr>
          <w:rFonts w:hint="eastAsia" w:ascii="宋体" w:hAnsi="宋体" w:cs="宋体"/>
          <w:szCs w:val="21"/>
        </w:rPr>
        <w:t>（1）竣工结算合同价格；</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szCs w:val="21"/>
        </w:rPr>
      </w:pPr>
      <w:r>
        <w:rPr>
          <w:rFonts w:hint="eastAsia" w:ascii="宋体" w:hAnsi="宋体" w:cs="宋体"/>
          <w:szCs w:val="21"/>
        </w:rPr>
        <w:t>（2）发包人已支付承包人的款项；</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szCs w:val="21"/>
        </w:rPr>
      </w:pPr>
      <w:r>
        <w:rPr>
          <w:rFonts w:hint="eastAsia" w:ascii="宋体" w:hAnsi="宋体" w:cs="宋体"/>
          <w:szCs w:val="21"/>
        </w:rPr>
        <w:t>（3）应扣留的质量保证金。已缴纳履约保证金的或提供其他工程质量担保方式的除外；</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szCs w:val="21"/>
        </w:rPr>
      </w:pPr>
      <w:r>
        <w:rPr>
          <w:rFonts w:hint="eastAsia" w:ascii="宋体" w:hAnsi="宋体" w:cs="宋体"/>
          <w:szCs w:val="21"/>
        </w:rPr>
        <w:t>（4）发包人应支付承包人的合同价款。</w:t>
      </w:r>
    </w:p>
    <w:p>
      <w:pPr>
        <w:keepNext w:val="0"/>
        <w:keepLines w:val="0"/>
        <w:pageBreakBefore w:val="0"/>
        <w:widowControl w:val="0"/>
        <w:tabs>
          <w:tab w:val="left" w:pos="1008"/>
        </w:tabs>
        <w:kinsoku/>
        <w:wordWrap/>
        <w:overflowPunct/>
        <w:topLinePunct w:val="0"/>
        <w:bidi w:val="0"/>
        <w:snapToGrid/>
        <w:jc w:val="left"/>
        <w:textAlignment w:val="auto"/>
        <w:outlineLvl w:val="4"/>
        <w:rPr>
          <w:rFonts w:ascii="宋体" w:hAnsi="宋体" w:cs="宋体"/>
          <w:kern w:val="0"/>
          <w:szCs w:val="21"/>
        </w:rPr>
      </w:pPr>
      <w:bookmarkStart w:id="399" w:name="_Toc351203595"/>
      <w:bookmarkStart w:id="400" w:name="_Toc337558812"/>
      <w:r>
        <w:rPr>
          <w:rFonts w:hint="eastAsia" w:ascii="宋体" w:hAnsi="宋体" w:cs="宋体"/>
          <w:kern w:val="0"/>
          <w:szCs w:val="21"/>
        </w:rPr>
        <w:t>14.2 竣工结算审核</w:t>
      </w:r>
      <w:bookmarkEnd w:id="399"/>
    </w:p>
    <w:bookmarkEnd w:id="400"/>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1）除专用合同条款另有约定外，监理人应在收到竣工结算申请单后14天内完成核查并报送发包人。发包人应在收到监理人提交的经审核的竣工结算申请单后14天内完成审批，并由监理人向承包人签发经发包人签认的竣工付款证书。监理人或</w:t>
      </w:r>
      <w:r>
        <w:rPr>
          <w:rFonts w:hint="eastAsia" w:ascii="宋体" w:hAnsi="宋体" w:cs="宋体"/>
          <w:szCs w:val="21"/>
        </w:rPr>
        <w:t>发包人对竣工</w:t>
      </w:r>
      <w:r>
        <w:rPr>
          <w:rFonts w:hint="eastAsia" w:ascii="宋体" w:hAnsi="宋体" w:cs="宋体"/>
          <w:kern w:val="0"/>
          <w:szCs w:val="21"/>
        </w:rPr>
        <w:t>结算</w:t>
      </w:r>
      <w:r>
        <w:rPr>
          <w:rFonts w:hint="eastAsia" w:ascii="宋体" w:hAnsi="宋体" w:cs="宋体"/>
          <w:szCs w:val="21"/>
        </w:rPr>
        <w:t>申请单有异议的，有权要求承包人进行修正和提供补充资料，承包人应提交修正后的竣工</w:t>
      </w:r>
      <w:r>
        <w:rPr>
          <w:rFonts w:hint="eastAsia" w:ascii="宋体" w:hAnsi="宋体" w:cs="宋体"/>
          <w:kern w:val="0"/>
          <w:szCs w:val="21"/>
        </w:rPr>
        <w:t>结算</w:t>
      </w:r>
      <w:r>
        <w:rPr>
          <w:rFonts w:hint="eastAsia" w:ascii="宋体" w:hAnsi="宋体" w:cs="宋体"/>
          <w:szCs w:val="21"/>
        </w:rPr>
        <w:t>申请单。</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发包人在收到承包人提交竣工结算申请书后28天内未完成审批且未提出异议的，视为发包人认可承包人提交的竣工结算申请单，并自发包人收到承包人提交的竣工结算申请单后第29天起视为已签发竣工付款证书。</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（2）除专用合同条款另有约定外，发包人应在签发竣工付款证书后的14 天内，完成对承包人的竣工付款。发包人逾期支付的，按照中国人民银行发布的同期同类贷款基准利率支付违约金；逾期支付超过56天的，按照中国人民银行发布的同期同类贷款基准利率的两倍支付违约金。</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3）承包人对发包人签认的竣工付款证书有异议的，对于有异议部分应在收到发包人签认的竣工付款证书后7天内提出异议，并由合同当事人按照专用合同条款约定的方式和程序进行复核，或按照第20条〔争议解决〕约定处理。对于无异议部分，发包人应签发临时竣工付款证书，并按本款第（2）项完成付款。承包人逾期未提出异议的，视为认可发包人的审批结果。</w:t>
      </w:r>
    </w:p>
    <w:p>
      <w:pPr>
        <w:keepNext/>
        <w:keepLines/>
        <w:tabs>
          <w:tab w:val="left" w:pos="1008"/>
        </w:tabs>
        <w:jc w:val="left"/>
        <w:outlineLvl w:val="4"/>
        <w:rPr>
          <w:rFonts w:ascii="宋体" w:hAnsi="宋体" w:cs="宋体"/>
          <w:kern w:val="0"/>
          <w:szCs w:val="21"/>
        </w:rPr>
      </w:pPr>
      <w:bookmarkStart w:id="401" w:name="_Toc351203596"/>
      <w:bookmarkStart w:id="402" w:name="_Toc337558813"/>
      <w:r>
        <w:rPr>
          <w:rFonts w:hint="eastAsia" w:ascii="宋体" w:hAnsi="宋体" w:cs="宋体"/>
          <w:kern w:val="0"/>
          <w:szCs w:val="21"/>
        </w:rPr>
        <w:t>14.3 甩项竣工协议</w:t>
      </w:r>
      <w:bookmarkEnd w:id="401"/>
    </w:p>
    <w:bookmarkEnd w:id="402"/>
    <w:p>
      <w:pPr>
        <w:autoSpaceDE w:val="0"/>
        <w:autoSpaceDN w:val="0"/>
        <w:adjustRightInd w:val="0"/>
        <w:ind w:firstLine="411" w:firstLineChars="196"/>
        <w:jc w:val="left"/>
        <w:rPr>
          <w:rFonts w:ascii="宋体" w:hAnsi="宋体" w:cs="宋体"/>
          <w:kern w:val="0"/>
          <w:szCs w:val="21"/>
        </w:rPr>
      </w:pPr>
      <w:r>
        <w:rPr>
          <w:rFonts w:hint="eastAsia" w:ascii="宋体" w:hAnsi="宋体" w:cs="宋体"/>
          <w:szCs w:val="21"/>
        </w:rPr>
        <w:t>发包人要求甩项竣工的，合同当事人应签订甩项竣工协议。在甩项竣工协议中应明确，合同当事人按照第14.1款〔竣工结算申请〕及14.2款〔竣工结算审核〕的约定，对已完合格工程进行结算，并支付相应合同价款。</w:t>
      </w:r>
    </w:p>
    <w:p>
      <w:pPr>
        <w:keepNext/>
        <w:keepLines/>
        <w:tabs>
          <w:tab w:val="left" w:pos="1008"/>
        </w:tabs>
        <w:jc w:val="left"/>
        <w:outlineLvl w:val="4"/>
        <w:rPr>
          <w:rFonts w:ascii="宋体" w:hAnsi="宋体" w:cs="宋体"/>
          <w:kern w:val="0"/>
          <w:szCs w:val="21"/>
        </w:rPr>
      </w:pPr>
      <w:bookmarkStart w:id="403" w:name="_Toc351203597"/>
      <w:bookmarkStart w:id="404" w:name="_Toc337558814"/>
      <w:r>
        <w:rPr>
          <w:rFonts w:hint="eastAsia" w:ascii="宋体" w:hAnsi="宋体" w:cs="宋体"/>
          <w:kern w:val="0"/>
          <w:szCs w:val="21"/>
        </w:rPr>
        <w:t>14.4 最终结清</w:t>
      </w:r>
      <w:bookmarkEnd w:id="403"/>
    </w:p>
    <w:bookmarkEnd w:id="404"/>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14.4.1 最终结清申请单</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（1）除专用合同条款另有约定外，承包人应在缺陷责任期终止证书颁发后7天内，按专用合同条款约定的份数向发包人提交最终结清申请单，并提供相关证明材料。</w:t>
      </w:r>
    </w:p>
    <w:p>
      <w:pPr>
        <w:autoSpaceDE w:val="0"/>
        <w:autoSpaceDN w:val="0"/>
        <w:adjustRightInd w:val="0"/>
        <w:ind w:firstLine="420" w:firstLineChars="200"/>
        <w:jc w:val="left"/>
        <w:rPr>
          <w:rFonts w:ascii="宋体" w:hAnsi="宋体" w:cs="宋体"/>
          <w:szCs w:val="21"/>
        </w:rPr>
      </w:pPr>
      <w:r>
        <w:rPr>
          <w:rFonts w:hint="eastAsia" w:ascii="宋体" w:hAnsi="宋体" w:cs="宋体"/>
          <w:szCs w:val="21"/>
        </w:rPr>
        <w:t>除专用合同条款另有约定外，</w:t>
      </w:r>
      <w:r>
        <w:rPr>
          <w:rFonts w:hint="eastAsia" w:ascii="宋体" w:hAnsi="宋体" w:cs="宋体"/>
          <w:kern w:val="0"/>
          <w:szCs w:val="21"/>
        </w:rPr>
        <w:t>最终结清申请单</w:t>
      </w:r>
      <w:r>
        <w:rPr>
          <w:rFonts w:hint="eastAsia" w:ascii="宋体" w:hAnsi="宋体" w:cs="宋体"/>
          <w:szCs w:val="21"/>
        </w:rPr>
        <w:t>应列明质量保证金、应扣除的质量保证金、缺陷责任期内发生的增减费用。</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（2）发包人对最终结清申请单内容有异议的，有权要求承包人进行修正和提供补充资料，承包人应向发包人提交修正后的最终结清申请单。</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14.4.2 最终结清证书和支付</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除专用合同条款另有约定外，发包人应在收到承包人提交的最终结清申请单后14天内完成审批并向承包人颁发最终结清证书。发包人逾期未完成审批，又未提出修改意见的，视为发包人同意承包人提交的最终结清申请单，且自发包人收到承包人提交的最终结清申请单后15天起视为已颁发最终结清证书。</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2）除专用合同条款另有约定外，发包人应在颁发最终结清证书后7天内完成支付。发包人逾期支付的，按照中国人民银行发布的同期同类贷款基准利率支付违约金；逾期支付超过56天的，按照中国人民银行发布的同期同类贷款基准利率的两倍支付违约金。</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（3）承包人对发包人颁发的最终结清证书有异议的，按第20条〔争议解决〕的约定办理。</w:t>
      </w:r>
    </w:p>
    <w:p>
      <w:pPr>
        <w:keepNext w:val="0"/>
        <w:keepLines w:val="0"/>
        <w:pageBreakBefore w:val="0"/>
        <w:widowControl w:val="0"/>
        <w:tabs>
          <w:tab w:val="left" w:pos="864"/>
        </w:tabs>
        <w:kinsoku/>
        <w:wordWrap/>
        <w:overflowPunct/>
        <w:topLinePunct w:val="0"/>
        <w:bidi w:val="0"/>
        <w:snapToGrid/>
        <w:jc w:val="left"/>
        <w:textAlignment w:val="auto"/>
        <w:outlineLvl w:val="3"/>
        <w:rPr>
          <w:rFonts w:ascii="宋体" w:hAnsi="宋体" w:cs="宋体"/>
          <w:kern w:val="0"/>
          <w:szCs w:val="21"/>
        </w:rPr>
      </w:pPr>
      <w:bookmarkStart w:id="405" w:name="_Toc351203598"/>
      <w:bookmarkStart w:id="406" w:name="_Toc337558815"/>
      <w:r>
        <w:rPr>
          <w:rFonts w:hint="eastAsia" w:ascii="宋体" w:hAnsi="宋体" w:cs="宋体"/>
          <w:kern w:val="0"/>
          <w:szCs w:val="21"/>
        </w:rPr>
        <w:t>15. 缺陷责任与保修</w:t>
      </w:r>
      <w:bookmarkEnd w:id="405"/>
    </w:p>
    <w:bookmarkEnd w:id="395"/>
    <w:bookmarkEnd w:id="396"/>
    <w:bookmarkEnd w:id="406"/>
    <w:p>
      <w:pPr>
        <w:keepNext w:val="0"/>
        <w:keepLines w:val="0"/>
        <w:pageBreakBefore w:val="0"/>
        <w:widowControl w:val="0"/>
        <w:tabs>
          <w:tab w:val="left" w:pos="1008"/>
        </w:tabs>
        <w:kinsoku/>
        <w:wordWrap/>
        <w:overflowPunct/>
        <w:topLinePunct w:val="0"/>
        <w:bidi w:val="0"/>
        <w:snapToGrid/>
        <w:jc w:val="left"/>
        <w:textAlignment w:val="auto"/>
        <w:outlineLvl w:val="4"/>
        <w:rPr>
          <w:rFonts w:ascii="宋体" w:hAnsi="宋体" w:cs="宋体"/>
          <w:kern w:val="0"/>
          <w:szCs w:val="21"/>
        </w:rPr>
      </w:pPr>
      <w:bookmarkStart w:id="407" w:name="_Toc351203599"/>
      <w:bookmarkStart w:id="408" w:name="_Toc337558816"/>
      <w:bookmarkStart w:id="409" w:name="_Toc296503114"/>
      <w:bookmarkStart w:id="410" w:name="_Toc296346615"/>
      <w:r>
        <w:rPr>
          <w:rFonts w:hint="eastAsia" w:ascii="宋体" w:hAnsi="宋体" w:cs="宋体"/>
          <w:kern w:val="0"/>
          <w:szCs w:val="21"/>
        </w:rPr>
        <w:t>15.1 工程保修的原则</w:t>
      </w:r>
      <w:bookmarkEnd w:id="407"/>
    </w:p>
    <w:bookmarkEnd w:id="408"/>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在工程移交发包人后，因承包人原因产生的质量缺陷，承包人应承担质量缺陷责任和保修义务。缺陷责任期届满，承包人仍应按合同约定的工程各部位保修年限承担保修义务。</w:t>
      </w:r>
    </w:p>
    <w:p>
      <w:pPr>
        <w:keepNext w:val="0"/>
        <w:keepLines w:val="0"/>
        <w:pageBreakBefore w:val="0"/>
        <w:widowControl w:val="0"/>
        <w:tabs>
          <w:tab w:val="left" w:pos="1008"/>
        </w:tabs>
        <w:kinsoku/>
        <w:wordWrap/>
        <w:overflowPunct/>
        <w:topLinePunct w:val="0"/>
        <w:bidi w:val="0"/>
        <w:snapToGrid/>
        <w:jc w:val="left"/>
        <w:textAlignment w:val="auto"/>
        <w:outlineLvl w:val="4"/>
        <w:rPr>
          <w:rFonts w:ascii="宋体" w:hAnsi="宋体" w:cs="宋体"/>
          <w:kern w:val="0"/>
          <w:szCs w:val="21"/>
        </w:rPr>
      </w:pPr>
      <w:bookmarkStart w:id="411" w:name="_Toc351203600"/>
      <w:bookmarkStart w:id="412" w:name="_Toc337558817"/>
      <w:r>
        <w:rPr>
          <w:rFonts w:hint="eastAsia" w:ascii="宋体" w:hAnsi="宋体" w:cs="宋体"/>
          <w:kern w:val="0"/>
          <w:szCs w:val="21"/>
        </w:rPr>
        <w:t>15.2 缺陷责任期</w:t>
      </w:r>
      <w:bookmarkEnd w:id="409"/>
      <w:bookmarkEnd w:id="410"/>
      <w:bookmarkEnd w:id="411"/>
    </w:p>
    <w:bookmarkEnd w:id="412"/>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15.2.1 缺陷责任期从工程通过竣工验收之日起计算，合同当事人应在专用合同条款约定缺陷责任期的具体期限，但该期限最长不超过24个月。</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单位工程先于全部工程进行验收，经验收合格并交付使用的，该单位工程缺陷责任期自单位工程验收合格之日起算。因承包人原因导致工程无法按合同约定期限进行竣工验收的，缺陷责任期从实际通过竣工验收之日起计算。因发包人原因导致工程无法按合同约定期限进行竣工验收的，在承包人提交竣工验收报告90天后，工程自动进入缺陷责任期；发包人未经竣工验收擅自使用工程的，缺陷责任期自工程转移占有之日起开始计算。</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15.2.2缺陷责任期内，由承包人原因造成的缺陷，承包人应负责维修，并承担鉴定及维修费用。如承包人不维修也不承担费用，发包人可按合同约定从保证金或银行保函中扣除，费用超出保证金额的，发包人可按合同约定向承包人进行索赔。承包人维修并承担相应费用后，不免除对工程的损失赔偿责任。发包人有权要求承</w:t>
      </w:r>
      <w:r>
        <w:rPr>
          <w:rFonts w:hint="eastAsia" w:ascii="宋体" w:hAnsi="宋体" w:cs="宋体"/>
          <w:szCs w:val="21"/>
        </w:rPr>
        <w:t>包人延长缺陷责任期，</w:t>
      </w:r>
      <w:r>
        <w:rPr>
          <w:rFonts w:hint="eastAsia" w:ascii="宋体" w:hAnsi="宋体" w:cs="宋体"/>
          <w:kern w:val="0"/>
          <w:szCs w:val="21"/>
        </w:rPr>
        <w:t>并应在原缺陷责任期届满前发出延长通知。</w:t>
      </w:r>
      <w:r>
        <w:rPr>
          <w:rFonts w:hint="eastAsia" w:ascii="宋体" w:hAnsi="宋体" w:cs="宋体"/>
          <w:szCs w:val="21"/>
        </w:rPr>
        <w:t>但缺陷责任期（含延长部分）最长</w:t>
      </w:r>
      <w:r>
        <w:rPr>
          <w:rFonts w:hint="eastAsia" w:ascii="宋体" w:hAnsi="宋体" w:cs="宋体"/>
          <w:kern w:val="0"/>
          <w:szCs w:val="21"/>
        </w:rPr>
        <w:t>不能超过24个月。</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由他人原因造成的缺陷，发包人负责组织维修，承包人不承担费用，且发包人不得从保证金中扣除费用。</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15.2.3 任何一项缺陷或损坏修复后，经检查证明其影响了工程或工程设备的使用性能，承包人应重新进行合同约定的试验和试运行，试验和试运行的全部费用应由责任方承担。</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15.2.4除专用合同条款另有约定外，承包人应于缺陷责任期届满后7天内向发包人发出缺陷责任期届满通知，发包人应在收到缺陷责任期满通知后14天内核实承包人是否履行缺陷修复义务，承包人未能履行缺陷修复义务的，发包人有权扣除相应金额的维修费用。发包人应在收到缺陷责任期届满通知后14天内，向承包人颁发缺陷责任期终止证书。</w:t>
      </w:r>
    </w:p>
    <w:p>
      <w:pPr>
        <w:keepNext/>
        <w:keepLines/>
        <w:tabs>
          <w:tab w:val="left" w:pos="1008"/>
        </w:tabs>
        <w:jc w:val="left"/>
        <w:outlineLvl w:val="4"/>
        <w:rPr>
          <w:rFonts w:ascii="宋体" w:hAnsi="宋体" w:cs="宋体"/>
          <w:kern w:val="0"/>
          <w:szCs w:val="21"/>
        </w:rPr>
      </w:pPr>
      <w:bookmarkStart w:id="413" w:name="_Toc351203601"/>
      <w:bookmarkStart w:id="414" w:name="_Toc337558818"/>
      <w:bookmarkStart w:id="415" w:name="_Toc296346616"/>
      <w:bookmarkStart w:id="416" w:name="_Toc296503115"/>
      <w:r>
        <w:rPr>
          <w:rFonts w:hint="eastAsia" w:ascii="宋体" w:hAnsi="宋体" w:cs="宋体"/>
          <w:kern w:val="0"/>
          <w:szCs w:val="21"/>
        </w:rPr>
        <w:t>15.3 质量保证金</w:t>
      </w:r>
      <w:bookmarkEnd w:id="413"/>
    </w:p>
    <w:bookmarkEnd w:id="414"/>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经合同当事人协商一致扣留质量保证金的，应在专用合同条款中予以明确。</w:t>
      </w:r>
    </w:p>
    <w:p>
      <w:pPr>
        <w:ind w:firstLine="420" w:firstLineChars="200"/>
        <w:jc w:val="left"/>
        <w:rPr>
          <w:rFonts w:ascii="宋体" w:hAnsi="宋体" w:cs="宋体"/>
          <w:szCs w:val="21"/>
        </w:rPr>
      </w:pPr>
      <w:r>
        <w:rPr>
          <w:rFonts w:hint="eastAsia" w:ascii="宋体" w:hAnsi="宋体" w:cs="宋体"/>
          <w:szCs w:val="21"/>
        </w:rPr>
        <w:t>在工程项目竣工前，承包人已经提供履约担保的，发包人不得同时预留工程质量保证金。</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15.3.1 承包人提供质量保证金的方式</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承包人提供质量保证金有以下三种方式：</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（1）质量保证金保函；</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（2）相应比例的工程款；</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（3）双方约定的其他方式。</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除专用合同条款另有约定外，质量保证金原则上采用上述第（1）种方式。</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15.3.2 质量保证金的扣留</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质量保证金的扣留有以下三种方式：</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（1）在支付工程进度款时逐次扣留，在此情形下，质量保证金的计算基数不包括预付款的支付、扣回以及价格调整的金额；</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（2）工</w:t>
      </w:r>
      <w:bookmarkStart w:id="417" w:name="#go6"/>
      <w:bookmarkEnd w:id="417"/>
      <w:r>
        <w:rPr>
          <w:rFonts w:hint="eastAsia" w:ascii="宋体" w:hAnsi="宋体" w:cs="宋体"/>
          <w:kern w:val="0"/>
          <w:szCs w:val="21"/>
        </w:rPr>
        <w:t>程竣工结算时一次性扣留质量保证金；</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（3）双方约定的其他扣留方式。</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除专用合同条款另有约定外，质量保证金的扣留原则上采用上述第（1）种方式。</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w:t>
      </w:r>
      <w:bookmarkStart w:id="418" w:name="#go4"/>
      <w:bookmarkEnd w:id="418"/>
      <w:r>
        <w:rPr>
          <w:rFonts w:hint="eastAsia" w:ascii="宋体" w:hAnsi="宋体" w:cs="宋体"/>
          <w:kern w:val="0"/>
          <w:szCs w:val="21"/>
        </w:rPr>
        <w:t>包人累计扣留的质量保证金不得超过工程价款结算总额的3%。如承包人在发包人签发竣工付款证书后28天内提交质量保证金保函，发包人应同时退还扣留的作为质量保证金的工程价款；保函金额不得超过工程价款结算总额的3%。</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发包人在退还质量保证金的同时按照中国人民银行发布的同期同类贷款基准利率支付利息。</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 xml:space="preserve">15.3.3 </w:t>
      </w:r>
      <w:r>
        <w:rPr>
          <w:rFonts w:hint="eastAsia" w:ascii="宋体" w:hAnsi="宋体" w:cs="宋体"/>
          <w:szCs w:val="21"/>
        </w:rPr>
        <w:t>质量保证金</w:t>
      </w:r>
      <w:r>
        <w:rPr>
          <w:rFonts w:hint="eastAsia" w:ascii="宋体" w:hAnsi="宋体" w:cs="宋体"/>
          <w:kern w:val="0"/>
          <w:szCs w:val="21"/>
        </w:rPr>
        <w:t>的退还</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缺陷责任期内，承包人认真履行合同约定的责任，到期后，承包人可向发包人申请返还保证金。</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在接到承包人返还保证金申请后，应于14天内会同承包人按照合同约定的内容进行核实。如无异议，发包人应当按照约定将保证金返还给承包人。对返还期限没有约定或者约定不明确的，发包人应当在核实后14天内将保证金返还承包人，逾期未返还的，依法承担违约责任。发包人在接到承包人返还保证金申请后14天内不予答复，经催告后14天内仍不予答复，视同认可承包人的返还保证金申请。</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发包人和承包人对保证金预留、返还以及工程维修质量、费用有争议的，按本合同第20条约定的争议和纠纷解决程序处理。</w:t>
      </w:r>
    </w:p>
    <w:p>
      <w:pPr>
        <w:keepNext/>
        <w:keepLines/>
        <w:tabs>
          <w:tab w:val="left" w:pos="1008"/>
        </w:tabs>
        <w:jc w:val="left"/>
        <w:outlineLvl w:val="4"/>
        <w:rPr>
          <w:rFonts w:ascii="宋体" w:hAnsi="宋体" w:cs="宋体"/>
          <w:kern w:val="0"/>
          <w:szCs w:val="21"/>
        </w:rPr>
      </w:pPr>
      <w:bookmarkStart w:id="419" w:name="_Toc351203602"/>
      <w:bookmarkStart w:id="420" w:name="_Toc337558819"/>
      <w:r>
        <w:rPr>
          <w:rFonts w:hint="eastAsia" w:ascii="宋体" w:hAnsi="宋体" w:cs="宋体"/>
          <w:kern w:val="0"/>
          <w:szCs w:val="21"/>
        </w:rPr>
        <w:t>15.4 保修</w:t>
      </w:r>
      <w:bookmarkEnd w:id="419"/>
    </w:p>
    <w:bookmarkEnd w:id="415"/>
    <w:bookmarkEnd w:id="416"/>
    <w:bookmarkEnd w:id="420"/>
    <w:p>
      <w:pPr>
        <w:ind w:firstLine="420" w:firstLineChars="200"/>
        <w:jc w:val="left"/>
        <w:rPr>
          <w:rFonts w:ascii="宋体" w:hAnsi="宋体" w:cs="宋体"/>
          <w:kern w:val="0"/>
          <w:szCs w:val="21"/>
        </w:rPr>
      </w:pPr>
      <w:r>
        <w:rPr>
          <w:rFonts w:hint="eastAsia" w:ascii="宋体" w:hAnsi="宋体" w:cs="宋体"/>
          <w:kern w:val="0"/>
          <w:szCs w:val="21"/>
        </w:rPr>
        <w:t>15.4.1保修责任</w:t>
      </w:r>
    </w:p>
    <w:p>
      <w:pPr>
        <w:ind w:firstLine="420" w:firstLineChars="200"/>
        <w:jc w:val="left"/>
        <w:rPr>
          <w:rFonts w:ascii="宋体" w:hAnsi="宋体" w:cs="宋体"/>
          <w:kern w:val="0"/>
          <w:szCs w:val="21"/>
        </w:rPr>
      </w:pPr>
      <w:r>
        <w:rPr>
          <w:rFonts w:hint="eastAsia" w:ascii="宋体" w:hAnsi="宋体" w:cs="宋体"/>
          <w:kern w:val="0"/>
          <w:szCs w:val="21"/>
        </w:rPr>
        <w:t>工程保修期从工程竣工验收合格之日起算，具体分部分项工程的保修期由合同当事人在专用合同条款中约定，但不得低于法定最低保修年限。在工程保修期内，承包人应当根据有关法律规定以及合同约定承担保修责任。</w:t>
      </w:r>
    </w:p>
    <w:p>
      <w:pPr>
        <w:ind w:firstLine="420" w:firstLineChars="200"/>
        <w:jc w:val="left"/>
        <w:rPr>
          <w:rFonts w:ascii="宋体" w:hAnsi="宋体" w:cs="宋体"/>
          <w:szCs w:val="21"/>
        </w:rPr>
      </w:pPr>
      <w:r>
        <w:rPr>
          <w:rFonts w:hint="eastAsia" w:ascii="宋体" w:hAnsi="宋体" w:cs="宋体"/>
          <w:szCs w:val="21"/>
        </w:rPr>
        <w:t>发包人未经竣工验收擅自使用工程的，保修期自</w:t>
      </w:r>
      <w:r>
        <w:rPr>
          <w:rFonts w:hint="eastAsia" w:ascii="宋体" w:hAnsi="宋体" w:cs="宋体"/>
          <w:kern w:val="0"/>
          <w:szCs w:val="21"/>
        </w:rPr>
        <w:t>转移占有之日起算</w:t>
      </w:r>
      <w:r>
        <w:rPr>
          <w:rFonts w:hint="eastAsia" w:ascii="宋体" w:hAnsi="宋体" w:cs="宋体"/>
          <w:szCs w:val="21"/>
        </w:rPr>
        <w:t>。</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15.4.2 修复费用</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保修期内，修复的费用按照以下约定处理：</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（1）保修期内，因承包人原因造成工程的缺陷、损坏，承包人应负责修复，并承担修复的费用以及因工程的缺陷、损坏造成的人身伤害和财产损失；</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（2）保修期内，因发包人使用不当造成工程的缺陷、损坏，可以委托承包人修复，但发包人应承担修复的费用，并支付承包人合理利润；</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（3）因其他原因造成工程的缺陷、损坏，可以委托承包人修复，发包人应承担修复的费用，并支付承包人合理的利润，因工程的缺陷、损坏造成的人身伤害和财产损失由责任方承担。</w:t>
      </w:r>
    </w:p>
    <w:p>
      <w:pPr>
        <w:ind w:firstLine="420" w:firstLineChars="200"/>
        <w:jc w:val="left"/>
        <w:rPr>
          <w:rFonts w:ascii="宋体" w:hAnsi="宋体" w:cs="宋体"/>
          <w:kern w:val="0"/>
          <w:szCs w:val="21"/>
        </w:rPr>
      </w:pPr>
      <w:r>
        <w:rPr>
          <w:rFonts w:hint="eastAsia" w:ascii="宋体" w:hAnsi="宋体" w:cs="宋体"/>
          <w:kern w:val="0"/>
          <w:szCs w:val="21"/>
        </w:rPr>
        <w:t>15.4.3 修复通知</w:t>
      </w:r>
    </w:p>
    <w:p>
      <w:pPr>
        <w:ind w:firstLine="420" w:firstLineChars="200"/>
        <w:jc w:val="left"/>
        <w:rPr>
          <w:rFonts w:ascii="宋体" w:hAnsi="宋体" w:cs="宋体"/>
          <w:kern w:val="0"/>
          <w:szCs w:val="21"/>
        </w:rPr>
      </w:pPr>
      <w:r>
        <w:rPr>
          <w:rFonts w:hint="eastAsia" w:ascii="宋体" w:hAnsi="宋体" w:cs="宋体"/>
          <w:kern w:val="0"/>
          <w:szCs w:val="21"/>
        </w:rPr>
        <w:t>在保修期内，发包人在使用过程中，发现已接收的工程存在缺陷或损坏的，应书面通知承包人予以修复，但情况紧急必须立即修复缺陷或损坏的，发包人可以口头通知承包人并在口头通知后48小时内书面确认，承包人应在专用合同条款约定的合理期限内到达工程现场并修复缺陷或损坏。</w:t>
      </w:r>
    </w:p>
    <w:p>
      <w:pPr>
        <w:ind w:firstLine="420" w:firstLineChars="200"/>
        <w:jc w:val="left"/>
        <w:rPr>
          <w:rFonts w:ascii="宋体" w:hAnsi="宋体" w:cs="宋体"/>
          <w:kern w:val="0"/>
          <w:szCs w:val="21"/>
        </w:rPr>
      </w:pPr>
      <w:r>
        <w:rPr>
          <w:rFonts w:hint="eastAsia" w:ascii="宋体" w:hAnsi="宋体" w:cs="宋体"/>
          <w:kern w:val="0"/>
          <w:szCs w:val="21"/>
        </w:rPr>
        <w:t>15.4.4 未能修复</w:t>
      </w:r>
    </w:p>
    <w:p>
      <w:pPr>
        <w:ind w:firstLine="420" w:firstLineChars="200"/>
        <w:jc w:val="left"/>
        <w:rPr>
          <w:rFonts w:ascii="宋体" w:hAnsi="宋体" w:cs="宋体"/>
          <w:kern w:val="0"/>
          <w:szCs w:val="21"/>
        </w:rPr>
      </w:pPr>
      <w:r>
        <w:rPr>
          <w:rFonts w:hint="eastAsia" w:ascii="宋体" w:hAnsi="宋体" w:cs="宋体"/>
          <w:kern w:val="0"/>
          <w:szCs w:val="21"/>
        </w:rPr>
        <w:t>因承包人原因造成工程的缺陷或损坏，承包人拒绝维修或未能在合理期限内修复缺陷或损坏，且经发包人书面催告后仍未修复的，发包人有权自行修复或委托第三方修复，所需费用由承包人承担。但修复范围超出缺陷或损坏范围的，超出范围部分的修复费用由发包人承担。</w:t>
      </w:r>
    </w:p>
    <w:p>
      <w:pPr>
        <w:ind w:firstLine="420" w:firstLineChars="200"/>
        <w:jc w:val="left"/>
        <w:rPr>
          <w:rFonts w:ascii="宋体" w:hAnsi="宋体" w:cs="宋体"/>
          <w:kern w:val="0"/>
          <w:szCs w:val="21"/>
        </w:rPr>
      </w:pPr>
      <w:r>
        <w:rPr>
          <w:rFonts w:hint="eastAsia" w:ascii="宋体" w:hAnsi="宋体" w:cs="宋体"/>
          <w:kern w:val="0"/>
          <w:szCs w:val="21"/>
        </w:rPr>
        <w:t>15.4.5 承包人出入权</w:t>
      </w:r>
    </w:p>
    <w:p>
      <w:pPr>
        <w:ind w:firstLine="420" w:firstLineChars="200"/>
        <w:jc w:val="left"/>
        <w:rPr>
          <w:rFonts w:ascii="宋体" w:hAnsi="宋体" w:cs="宋体"/>
          <w:kern w:val="0"/>
          <w:szCs w:val="21"/>
        </w:rPr>
      </w:pPr>
      <w:r>
        <w:rPr>
          <w:rFonts w:hint="eastAsia" w:ascii="宋体" w:hAnsi="宋体" w:cs="宋体"/>
          <w:kern w:val="0"/>
          <w:szCs w:val="21"/>
        </w:rPr>
        <w:t>在保修期内，为了修复缺陷或损坏，承包人有权出入工程现场，除情况紧急必须立即修复缺陷或损坏外，承包人应提前24小时通知发包人进场修复的时间。承包人进入工程现场前应获得发包人同意，且不应影响发包人正常的生产经营，并应遵守发包人有关保安和保密等规定。</w:t>
      </w:r>
    </w:p>
    <w:p>
      <w:pPr>
        <w:keepNext/>
        <w:keepLines/>
        <w:tabs>
          <w:tab w:val="left" w:pos="864"/>
        </w:tabs>
        <w:jc w:val="left"/>
        <w:outlineLvl w:val="3"/>
        <w:rPr>
          <w:rFonts w:ascii="宋体" w:hAnsi="宋体" w:cs="宋体"/>
          <w:kern w:val="0"/>
          <w:szCs w:val="21"/>
        </w:rPr>
      </w:pPr>
      <w:bookmarkStart w:id="421" w:name="_Toc351203603"/>
      <w:bookmarkStart w:id="422" w:name="_Toc337558820"/>
      <w:r>
        <w:rPr>
          <w:rFonts w:hint="eastAsia" w:ascii="宋体" w:hAnsi="宋体" w:cs="宋体"/>
          <w:kern w:val="0"/>
          <w:szCs w:val="21"/>
        </w:rPr>
        <w:t>16. 违约</w:t>
      </w:r>
      <w:bookmarkEnd w:id="421"/>
    </w:p>
    <w:bookmarkEnd w:id="422"/>
    <w:p>
      <w:pPr>
        <w:keepNext/>
        <w:keepLines/>
        <w:tabs>
          <w:tab w:val="left" w:pos="1008"/>
        </w:tabs>
        <w:jc w:val="left"/>
        <w:outlineLvl w:val="4"/>
        <w:rPr>
          <w:rFonts w:ascii="宋体" w:hAnsi="宋体" w:cs="宋体"/>
          <w:kern w:val="0"/>
          <w:szCs w:val="21"/>
        </w:rPr>
      </w:pPr>
      <w:bookmarkStart w:id="423" w:name="_Toc296346630"/>
      <w:bookmarkStart w:id="424" w:name="_Toc296503129"/>
      <w:bookmarkStart w:id="425" w:name="_Toc351203604"/>
      <w:bookmarkStart w:id="426" w:name="_Toc337558821"/>
      <w:r>
        <w:rPr>
          <w:rFonts w:hint="eastAsia" w:ascii="宋体" w:hAnsi="宋体" w:cs="宋体"/>
          <w:kern w:val="0"/>
          <w:szCs w:val="21"/>
        </w:rPr>
        <w:t>16.1 发</w:t>
      </w:r>
      <w:bookmarkEnd w:id="423"/>
      <w:bookmarkEnd w:id="424"/>
      <w:r>
        <w:rPr>
          <w:rFonts w:hint="eastAsia" w:ascii="宋体" w:hAnsi="宋体" w:cs="宋体"/>
          <w:kern w:val="0"/>
          <w:szCs w:val="21"/>
        </w:rPr>
        <w:t>包人违约</w:t>
      </w:r>
      <w:bookmarkEnd w:id="425"/>
    </w:p>
    <w:bookmarkEnd w:id="426"/>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16.1.1 发包人违约的情形</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在合同履行过程中发生的下列情形，属于发包人违约：</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（1）因发包人原因未能在计划开工日期前7天内下达开工通知的；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（2）因发包人原因未能按合同约定支付合同价款的；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（3）发包人违反第10.1款〔变更的范围〕第（2）项约定，自行实施被取消的工作或转由他人实施的；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（4）发包人提供的材料、工程设备的规格、数量或质量不符合合同约定，或因发包人原因导致交货日期延误或交货地点变更等情况的；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（5）因发包人违反合同约定造成暂停施工的；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（6）发包人无正当理由没有在约定期限内发出复工指示，导致承包人无法复工的；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（7）发包人明确表示或者以其行为表明不履行合同主要义务的；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（8）发包人未能按照合同约定履行其他义务的。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发生除本项第（7）目以外的违约情况时，承包人可向发包人发出通知，要求发包人采取有效措施纠正违约行为。发包人收到承包人通知后28天内仍不纠正违约行为的，承包人有权暂停相应部位工程施工，并通知监理人。</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16.1.2 发包人违约的责任</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发包人应承担因其违约给承包人增加的费用和（或）延误的工期，并支付承包人合理的利润。此外，合同当事人可在专用合同条款中另行约定发包人违约责任的承担方式和计算方法。</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16.1.3 因发包人违约解除合同</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专用合同条款另有约定外，承包人按第16.1.1项〔发包人违约的情形〕约定暂停施工满28天后，发包人仍不纠正其违约行为并致使合同目的不能实现的，或出现第16.1.1项〔发包人违约的情形〕第（7）目约定的违约情况，承包人有权解除合同，发包人应承担由此增加的费用，并支付承包人合理的利润。</w:t>
      </w:r>
    </w:p>
    <w:p>
      <w:pPr>
        <w:autoSpaceDE w:val="0"/>
        <w:autoSpaceDN w:val="0"/>
        <w:adjustRightInd w:val="0"/>
        <w:ind w:firstLine="420" w:firstLineChars="200"/>
        <w:jc w:val="left"/>
        <w:rPr>
          <w:rFonts w:ascii="宋体" w:hAnsi="宋体" w:cs="宋体"/>
          <w:szCs w:val="21"/>
        </w:rPr>
      </w:pPr>
      <w:r>
        <w:rPr>
          <w:rFonts w:hint="eastAsia" w:ascii="宋体" w:hAnsi="宋体" w:cs="宋体"/>
          <w:kern w:val="0"/>
          <w:szCs w:val="21"/>
        </w:rPr>
        <w:t>16.1.4 因发包人违约解除合同后的付款</w:t>
      </w:r>
    </w:p>
    <w:p>
      <w:pPr>
        <w:ind w:firstLine="420" w:firstLineChars="200"/>
        <w:jc w:val="left"/>
        <w:rPr>
          <w:rFonts w:ascii="宋体" w:hAnsi="宋体" w:cs="宋体"/>
          <w:kern w:val="0"/>
          <w:szCs w:val="21"/>
        </w:rPr>
      </w:pPr>
      <w:r>
        <w:rPr>
          <w:rFonts w:hint="eastAsia" w:ascii="宋体" w:hAnsi="宋体" w:cs="宋体"/>
          <w:kern w:val="0"/>
          <w:szCs w:val="21"/>
        </w:rPr>
        <w:t>承包人按照本款约定解除合同的，发包人应在解除合同后28天内支付下列款项，并解除履约担保：</w:t>
      </w:r>
    </w:p>
    <w:p>
      <w:pPr>
        <w:ind w:firstLine="420" w:firstLineChars="200"/>
        <w:jc w:val="left"/>
        <w:rPr>
          <w:rFonts w:ascii="宋体" w:hAnsi="宋体" w:cs="宋体"/>
          <w:kern w:val="0"/>
          <w:szCs w:val="21"/>
        </w:rPr>
      </w:pPr>
      <w:r>
        <w:rPr>
          <w:rFonts w:hint="eastAsia" w:ascii="宋体" w:hAnsi="宋体" w:cs="宋体"/>
          <w:kern w:val="0"/>
          <w:szCs w:val="21"/>
        </w:rPr>
        <w:t>（1）合同解除前所完成工作的价款；</w:t>
      </w:r>
    </w:p>
    <w:p>
      <w:pPr>
        <w:ind w:firstLine="420" w:firstLineChars="200"/>
        <w:jc w:val="left"/>
        <w:rPr>
          <w:rFonts w:ascii="宋体" w:hAnsi="宋体" w:cs="宋体"/>
          <w:kern w:val="0"/>
          <w:szCs w:val="21"/>
        </w:rPr>
      </w:pPr>
      <w:r>
        <w:rPr>
          <w:rFonts w:hint="eastAsia" w:ascii="宋体" w:hAnsi="宋体" w:cs="宋体"/>
          <w:kern w:val="0"/>
          <w:szCs w:val="21"/>
        </w:rPr>
        <w:t>（2）承包人为工程施工订购并已付款的材料、工程设备和其他物品的价款；</w:t>
      </w:r>
    </w:p>
    <w:p>
      <w:pPr>
        <w:ind w:firstLine="420" w:firstLineChars="200"/>
        <w:jc w:val="left"/>
        <w:rPr>
          <w:rFonts w:ascii="宋体" w:hAnsi="宋体" w:cs="宋体"/>
          <w:kern w:val="0"/>
          <w:szCs w:val="21"/>
        </w:rPr>
      </w:pPr>
      <w:r>
        <w:rPr>
          <w:rFonts w:hint="eastAsia" w:ascii="宋体" w:hAnsi="宋体" w:cs="宋体"/>
          <w:kern w:val="0"/>
          <w:szCs w:val="21"/>
        </w:rPr>
        <w:t>（3）承包人撤离施工现场以及遣散承包人人员的款项；</w:t>
      </w:r>
    </w:p>
    <w:p>
      <w:pPr>
        <w:ind w:firstLine="420" w:firstLineChars="200"/>
        <w:jc w:val="left"/>
        <w:rPr>
          <w:rFonts w:ascii="宋体" w:hAnsi="宋体" w:cs="宋体"/>
          <w:kern w:val="0"/>
          <w:szCs w:val="21"/>
        </w:rPr>
      </w:pPr>
      <w:r>
        <w:rPr>
          <w:rFonts w:hint="eastAsia" w:ascii="宋体" w:hAnsi="宋体" w:cs="宋体"/>
          <w:kern w:val="0"/>
          <w:szCs w:val="21"/>
        </w:rPr>
        <w:t>（4）按照合同约定在合同解除前应支付的违约金；</w:t>
      </w:r>
    </w:p>
    <w:p>
      <w:pPr>
        <w:ind w:firstLine="420" w:firstLineChars="200"/>
        <w:jc w:val="left"/>
        <w:rPr>
          <w:rFonts w:ascii="宋体" w:hAnsi="宋体" w:cs="宋体"/>
          <w:kern w:val="0"/>
          <w:szCs w:val="21"/>
        </w:rPr>
      </w:pPr>
      <w:r>
        <w:rPr>
          <w:rFonts w:hint="eastAsia" w:ascii="宋体" w:hAnsi="宋体" w:cs="宋体"/>
          <w:kern w:val="0"/>
          <w:szCs w:val="21"/>
        </w:rPr>
        <w:t>（5）按照合同约定应当支付给承包人的其他款项；</w:t>
      </w:r>
    </w:p>
    <w:p>
      <w:pPr>
        <w:ind w:firstLine="420" w:firstLineChars="200"/>
        <w:jc w:val="left"/>
        <w:rPr>
          <w:rFonts w:ascii="宋体" w:hAnsi="宋体" w:cs="宋体"/>
          <w:kern w:val="0"/>
          <w:szCs w:val="21"/>
        </w:rPr>
      </w:pPr>
      <w:r>
        <w:rPr>
          <w:rFonts w:hint="eastAsia" w:ascii="宋体" w:hAnsi="宋体" w:cs="宋体"/>
          <w:kern w:val="0"/>
          <w:szCs w:val="21"/>
        </w:rPr>
        <w:t>（6）按照合同约定应退还的质量保证金；</w:t>
      </w:r>
    </w:p>
    <w:p>
      <w:pPr>
        <w:ind w:firstLine="420" w:firstLineChars="200"/>
        <w:jc w:val="left"/>
        <w:rPr>
          <w:rFonts w:ascii="宋体" w:hAnsi="宋体" w:cs="宋体"/>
          <w:kern w:val="0"/>
          <w:szCs w:val="21"/>
        </w:rPr>
      </w:pPr>
      <w:r>
        <w:rPr>
          <w:rFonts w:hint="eastAsia" w:ascii="宋体" w:hAnsi="宋体" w:cs="宋体"/>
          <w:kern w:val="0"/>
          <w:szCs w:val="21"/>
        </w:rPr>
        <w:t>（7）因解除合同给承包人造成的损失。</w:t>
      </w:r>
    </w:p>
    <w:p>
      <w:pPr>
        <w:ind w:firstLine="420" w:firstLineChars="200"/>
        <w:jc w:val="left"/>
        <w:rPr>
          <w:rFonts w:ascii="宋体" w:hAnsi="宋体" w:cs="宋体"/>
          <w:kern w:val="0"/>
          <w:szCs w:val="21"/>
        </w:rPr>
      </w:pPr>
      <w:r>
        <w:rPr>
          <w:rFonts w:hint="eastAsia" w:ascii="宋体" w:hAnsi="宋体" w:cs="宋体"/>
          <w:kern w:val="0"/>
          <w:szCs w:val="21"/>
        </w:rPr>
        <w:t>合同当事人未能就解除合同后的结清达成一致的，按照第20条〔争议解决〕的约定处理。</w:t>
      </w:r>
    </w:p>
    <w:p>
      <w:pPr>
        <w:ind w:firstLine="420" w:firstLineChars="200"/>
        <w:jc w:val="left"/>
        <w:rPr>
          <w:rFonts w:ascii="宋体" w:hAnsi="宋体" w:cs="宋体"/>
          <w:kern w:val="0"/>
          <w:szCs w:val="21"/>
        </w:rPr>
      </w:pPr>
      <w:r>
        <w:rPr>
          <w:rFonts w:hint="eastAsia" w:ascii="宋体" w:hAnsi="宋体" w:cs="宋体"/>
          <w:kern w:val="0"/>
          <w:szCs w:val="21"/>
        </w:rPr>
        <w:t>承包人应妥善做好已完工程和与工程有关的已购材料、工程设备的保护和移交工作，并将施工设备和人员撤出施工现场，发包人应为承包人撤出提供必要条件。</w:t>
      </w:r>
    </w:p>
    <w:p>
      <w:pPr>
        <w:keepNext/>
        <w:keepLines/>
        <w:tabs>
          <w:tab w:val="left" w:pos="1008"/>
        </w:tabs>
        <w:jc w:val="left"/>
        <w:outlineLvl w:val="4"/>
        <w:rPr>
          <w:rFonts w:ascii="宋体" w:hAnsi="宋体" w:cs="宋体"/>
          <w:kern w:val="0"/>
          <w:szCs w:val="21"/>
        </w:rPr>
      </w:pPr>
      <w:bookmarkStart w:id="427" w:name="_Toc351203605"/>
      <w:bookmarkStart w:id="428" w:name="_Toc296346632"/>
      <w:bookmarkStart w:id="429" w:name="_Toc296503131"/>
      <w:bookmarkStart w:id="430" w:name="_Toc337558822"/>
      <w:r>
        <w:rPr>
          <w:rFonts w:hint="eastAsia" w:ascii="宋体" w:hAnsi="宋体" w:cs="宋体"/>
          <w:kern w:val="0"/>
          <w:szCs w:val="21"/>
        </w:rPr>
        <w:t>16.2 承包人违约</w:t>
      </w:r>
      <w:bookmarkEnd w:id="427"/>
    </w:p>
    <w:bookmarkEnd w:id="428"/>
    <w:bookmarkEnd w:id="429"/>
    <w:bookmarkEnd w:id="430"/>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16.2.1 承包人违约的情形</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在合同履行过程中发生的下列情形，属于承包人违约：</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（1）承包人违反合同约定进行转包或违法分包的；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（2）承包人违反合同约定采购和使用不合格的材料和工程设备的；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（3）因承包人原因导致工程质量不符合合同要求的；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（4）承包人违反第8.9款〔材料与设备专用要求〕的约定，未经批准，私自将已按照合同约定进入施工现场的材料或设备撤离施工现场的；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（5）承包人未能按施工进度计划及时完成合同约定的工作，造成工期延误的；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（6）承包人在缺陷责任期及保修期内，未能在合理期限对工程缺陷进行修复，或拒绝按发包人要求进行修复的；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（7）承包人明确表示或者以其行为表明不履行合同主要义务的；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（8）承包人未能按照合同约定履行其他义务的。</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承包人发生除本项第（7）目约定以外的其他违约情况时，监理人可向承包人发出整改通知，要求其在指定的期限内改正。</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16.2.2 承包人违约的责任</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承包人应承担因其违约行为而增加的费用和（或）延误的工期。此外，合同当事人可在专用合同条款中另行约定承包人违约责任的承担方式和计算方法。</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16.2.3 因承包人违约解除合同</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专用合同条款另有约定外，出现第16.2.1项〔承包人违约的情形〕第（7）目约定的违约情况时，或监理人发出整改通知后，承包人在指定的合理期限内仍不纠正违约行为并致使合同目的不能实现的，发包人有权解除合同。合同解除后，因继续完成工程的需要，发包人有权使用承包人在施工现场的材料、设备、临时工程、承包人文件和由承包人或以其名义编制的其他文件，合同当事人应在专用合同条款约定相应费用的承担方式。发包人继续使用的行为不免除或减轻承包人应承担的违约责任。</w:t>
      </w:r>
    </w:p>
    <w:p>
      <w:pPr>
        <w:ind w:firstLine="420" w:firstLineChars="200"/>
        <w:jc w:val="left"/>
        <w:rPr>
          <w:rFonts w:ascii="宋体" w:hAnsi="宋体" w:cs="宋体"/>
          <w:kern w:val="0"/>
          <w:szCs w:val="21"/>
        </w:rPr>
      </w:pPr>
      <w:r>
        <w:rPr>
          <w:rFonts w:hint="eastAsia" w:ascii="宋体" w:hAnsi="宋体" w:cs="宋体"/>
          <w:kern w:val="0"/>
          <w:szCs w:val="21"/>
        </w:rPr>
        <w:t>16.2.4因承包人违约解除合同后的处理</w:t>
      </w:r>
    </w:p>
    <w:p>
      <w:pPr>
        <w:ind w:firstLine="420" w:firstLineChars="200"/>
        <w:jc w:val="left"/>
        <w:rPr>
          <w:rFonts w:ascii="宋体" w:hAnsi="宋体" w:cs="宋体"/>
          <w:kern w:val="0"/>
          <w:szCs w:val="21"/>
        </w:rPr>
      </w:pPr>
      <w:r>
        <w:rPr>
          <w:rFonts w:hint="eastAsia" w:ascii="宋体" w:hAnsi="宋体" w:cs="宋体"/>
          <w:kern w:val="0"/>
          <w:szCs w:val="21"/>
        </w:rPr>
        <w:t>因承包人原因导致合同解除的，则合同当事人应在合同解除后28天内完成估价、付款和清算，并按以下约定执行：</w:t>
      </w:r>
    </w:p>
    <w:p>
      <w:pPr>
        <w:ind w:firstLine="420" w:firstLineChars="200"/>
        <w:jc w:val="left"/>
        <w:rPr>
          <w:rFonts w:ascii="宋体" w:hAnsi="宋体" w:cs="宋体"/>
          <w:kern w:val="0"/>
          <w:szCs w:val="21"/>
        </w:rPr>
      </w:pPr>
      <w:r>
        <w:rPr>
          <w:rFonts w:hint="eastAsia" w:ascii="宋体" w:hAnsi="宋体" w:cs="宋体"/>
          <w:kern w:val="0"/>
          <w:szCs w:val="21"/>
        </w:rPr>
        <w:t>（1）合同解除后，按第4.4款〔商定或确定〕商定或确定承包人实际完成工作对应的合同价款，以及承包人已提供的材料、工程设备、施工设备和临时工程等的价值；</w:t>
      </w:r>
    </w:p>
    <w:p>
      <w:pPr>
        <w:ind w:firstLine="420" w:firstLineChars="200"/>
        <w:jc w:val="left"/>
        <w:rPr>
          <w:rFonts w:ascii="宋体" w:hAnsi="宋体" w:cs="宋体"/>
          <w:kern w:val="0"/>
          <w:szCs w:val="21"/>
        </w:rPr>
      </w:pPr>
      <w:r>
        <w:rPr>
          <w:rFonts w:hint="eastAsia" w:ascii="宋体" w:hAnsi="宋体" w:cs="宋体"/>
          <w:kern w:val="0"/>
          <w:szCs w:val="21"/>
        </w:rPr>
        <w:t>（2）合同解除后，承包人应支付的违约金；</w:t>
      </w:r>
    </w:p>
    <w:p>
      <w:pPr>
        <w:ind w:firstLine="420" w:firstLineChars="200"/>
        <w:jc w:val="left"/>
        <w:rPr>
          <w:rFonts w:ascii="宋体" w:hAnsi="宋体" w:cs="宋体"/>
          <w:kern w:val="0"/>
          <w:szCs w:val="21"/>
        </w:rPr>
      </w:pPr>
      <w:r>
        <w:rPr>
          <w:rFonts w:hint="eastAsia" w:ascii="宋体" w:hAnsi="宋体" w:cs="宋体"/>
          <w:kern w:val="0"/>
          <w:szCs w:val="21"/>
        </w:rPr>
        <w:t>（3）合同解除后，因解除合同给发包人造成的损失；</w:t>
      </w:r>
    </w:p>
    <w:p>
      <w:pPr>
        <w:ind w:firstLine="420" w:firstLineChars="200"/>
        <w:jc w:val="left"/>
        <w:rPr>
          <w:rFonts w:ascii="宋体" w:hAnsi="宋体" w:cs="宋体"/>
          <w:kern w:val="0"/>
          <w:szCs w:val="21"/>
        </w:rPr>
      </w:pPr>
      <w:r>
        <w:rPr>
          <w:rFonts w:hint="eastAsia" w:ascii="宋体" w:hAnsi="宋体" w:cs="宋体"/>
          <w:kern w:val="0"/>
          <w:szCs w:val="21"/>
        </w:rPr>
        <w:t>（4）合同解除后，承包人应按照发包人要求和监理人的指示完成现场的清理和撤离；</w:t>
      </w:r>
    </w:p>
    <w:p>
      <w:pPr>
        <w:ind w:firstLine="420" w:firstLineChars="200"/>
        <w:jc w:val="left"/>
        <w:rPr>
          <w:rFonts w:ascii="宋体" w:hAnsi="宋体" w:cs="宋体"/>
          <w:kern w:val="0"/>
          <w:szCs w:val="21"/>
        </w:rPr>
      </w:pPr>
      <w:r>
        <w:rPr>
          <w:rFonts w:hint="eastAsia" w:ascii="宋体" w:hAnsi="宋体" w:cs="宋体"/>
          <w:kern w:val="0"/>
          <w:szCs w:val="21"/>
        </w:rPr>
        <w:t>（5）发包人和承包人应在合同解除后进行清算，出具最终结清付款证书，结清全部款项。</w:t>
      </w:r>
    </w:p>
    <w:p>
      <w:pPr>
        <w:ind w:firstLine="420" w:firstLineChars="200"/>
        <w:jc w:val="left"/>
        <w:rPr>
          <w:rFonts w:ascii="宋体" w:hAnsi="宋体" w:cs="宋体"/>
          <w:kern w:val="0"/>
          <w:szCs w:val="21"/>
        </w:rPr>
      </w:pPr>
      <w:r>
        <w:rPr>
          <w:rFonts w:hint="eastAsia" w:ascii="宋体" w:hAnsi="宋体" w:cs="宋体"/>
          <w:kern w:val="0"/>
          <w:szCs w:val="21"/>
        </w:rPr>
        <w:t>因承包人违约解除合同的，发包人有权暂停对承包人的付款，查清各项付款和已扣款项。发包人和承包人未能就合同解除后的清算和款项支付达成一致的，按照第20条〔争议解决〕的约定处理。</w:t>
      </w:r>
    </w:p>
    <w:p>
      <w:pPr>
        <w:ind w:firstLine="420" w:firstLineChars="200"/>
        <w:jc w:val="left"/>
        <w:rPr>
          <w:rFonts w:ascii="宋体" w:hAnsi="宋体" w:cs="宋体"/>
          <w:kern w:val="0"/>
          <w:szCs w:val="21"/>
        </w:rPr>
      </w:pPr>
      <w:r>
        <w:rPr>
          <w:rFonts w:hint="eastAsia" w:ascii="宋体" w:hAnsi="宋体" w:cs="宋体"/>
          <w:kern w:val="0"/>
          <w:szCs w:val="21"/>
        </w:rPr>
        <w:t>16.2.5采购合同权益转让</w:t>
      </w:r>
    </w:p>
    <w:p>
      <w:pPr>
        <w:ind w:firstLine="420" w:firstLineChars="200"/>
        <w:jc w:val="left"/>
        <w:rPr>
          <w:rFonts w:ascii="宋体" w:hAnsi="宋体" w:cs="宋体"/>
          <w:kern w:val="0"/>
          <w:szCs w:val="21"/>
        </w:rPr>
      </w:pPr>
      <w:r>
        <w:rPr>
          <w:rFonts w:hint="eastAsia" w:ascii="宋体" w:hAnsi="宋体" w:cs="宋体"/>
          <w:kern w:val="0"/>
          <w:szCs w:val="21"/>
        </w:rPr>
        <w:t>因承包人违约解除合同的，发包人有权要求承包人将其为实施合同而签订的材料和设备的采购合同的权益转让给发包人，承包人应在收到解除合同通知后14天内，协助发包人与采购合同的供应商达成相关的转让协议。</w:t>
      </w:r>
    </w:p>
    <w:p>
      <w:pPr>
        <w:keepNext/>
        <w:keepLines/>
        <w:tabs>
          <w:tab w:val="left" w:pos="1008"/>
        </w:tabs>
        <w:jc w:val="left"/>
        <w:outlineLvl w:val="4"/>
        <w:rPr>
          <w:rFonts w:ascii="宋体" w:hAnsi="宋体" w:cs="宋体"/>
          <w:kern w:val="0"/>
          <w:szCs w:val="21"/>
        </w:rPr>
      </w:pPr>
      <w:bookmarkStart w:id="431" w:name="_Toc351203606"/>
      <w:r>
        <w:rPr>
          <w:rFonts w:hint="eastAsia" w:ascii="宋体" w:hAnsi="宋体" w:cs="宋体"/>
          <w:kern w:val="0"/>
          <w:szCs w:val="21"/>
        </w:rPr>
        <w:t>16.3 第三人造成的违约</w:t>
      </w:r>
      <w:bookmarkEnd w:id="431"/>
    </w:p>
    <w:p>
      <w:pPr>
        <w:ind w:firstLine="420" w:firstLineChars="200"/>
        <w:jc w:val="left"/>
        <w:rPr>
          <w:rFonts w:ascii="宋体" w:hAnsi="宋体" w:cs="宋体"/>
          <w:kern w:val="0"/>
          <w:szCs w:val="21"/>
        </w:rPr>
      </w:pPr>
      <w:r>
        <w:rPr>
          <w:rFonts w:hint="eastAsia" w:ascii="宋体" w:hAnsi="宋体" w:cs="宋体"/>
          <w:kern w:val="0"/>
          <w:szCs w:val="21"/>
        </w:rPr>
        <w:t>在履行合同过程中，一方当事人因第三人的原因造成违约的，应当向对方当事人承担违约责任。一方当事人和第三人之间的纠纷，依照法律规定或者按照约定解决。</w:t>
      </w:r>
    </w:p>
    <w:p>
      <w:pPr>
        <w:keepNext/>
        <w:keepLines/>
        <w:tabs>
          <w:tab w:val="left" w:pos="864"/>
        </w:tabs>
        <w:ind w:left="861" w:hanging="860" w:hangingChars="410"/>
        <w:jc w:val="left"/>
        <w:outlineLvl w:val="3"/>
        <w:rPr>
          <w:rFonts w:ascii="宋体" w:hAnsi="宋体" w:cs="宋体"/>
          <w:kern w:val="0"/>
          <w:szCs w:val="21"/>
        </w:rPr>
      </w:pPr>
      <w:bookmarkStart w:id="432" w:name="_Toc296503116"/>
      <w:bookmarkStart w:id="433" w:name="_Toc351203607"/>
      <w:bookmarkStart w:id="434" w:name="_Toc337558823"/>
      <w:bookmarkStart w:id="435" w:name="_Toc296346617"/>
      <w:r>
        <w:rPr>
          <w:rFonts w:hint="eastAsia" w:ascii="宋体" w:hAnsi="宋体" w:cs="宋体"/>
          <w:kern w:val="0"/>
          <w:szCs w:val="21"/>
        </w:rPr>
        <w:t>17. 不可抗力</w:t>
      </w:r>
      <w:bookmarkEnd w:id="432"/>
      <w:bookmarkEnd w:id="433"/>
      <w:bookmarkEnd w:id="434"/>
      <w:bookmarkEnd w:id="435"/>
    </w:p>
    <w:p>
      <w:pPr>
        <w:keepNext/>
        <w:keepLines/>
        <w:tabs>
          <w:tab w:val="left" w:pos="1008"/>
        </w:tabs>
        <w:jc w:val="left"/>
        <w:outlineLvl w:val="4"/>
        <w:rPr>
          <w:rFonts w:ascii="宋体" w:hAnsi="宋体" w:cs="宋体"/>
          <w:kern w:val="0"/>
          <w:szCs w:val="21"/>
        </w:rPr>
      </w:pPr>
      <w:bookmarkStart w:id="436" w:name="_Toc351203608"/>
      <w:bookmarkStart w:id="437" w:name="_Toc337558824"/>
      <w:bookmarkStart w:id="438" w:name="_Toc296346618"/>
      <w:bookmarkStart w:id="439" w:name="_Toc296503117"/>
      <w:r>
        <w:rPr>
          <w:rFonts w:hint="eastAsia" w:ascii="宋体" w:hAnsi="宋体" w:cs="宋体"/>
          <w:kern w:val="0"/>
          <w:szCs w:val="21"/>
        </w:rPr>
        <w:t>17.1 不可抗力的确认</w:t>
      </w:r>
      <w:bookmarkEnd w:id="436"/>
    </w:p>
    <w:bookmarkEnd w:id="437"/>
    <w:bookmarkEnd w:id="438"/>
    <w:bookmarkEnd w:id="439"/>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不可抗力是指合同当事人在签订合同时不可预见，在合同履行过程中不可避免且不能克服的自然灾害和社会性突发事件，如地震、海啸、瘟疫、骚乱、戒严、暴动、战争和专用合同条款中约定的其他情形。</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不可抗力发生后，发包人和承包人应收集证明不可抗力发生及不可抗力造成损失的证据，并及时认真统计所造成的损失。合同当事人对是否属于不可抗力或其损失的意见不一致的，由监理人按第4.4款〔商定或确定〕的约定处理。发生争议时，按第20条〔争议解决〕的约定处理。</w:t>
      </w:r>
    </w:p>
    <w:p>
      <w:pPr>
        <w:keepNext w:val="0"/>
        <w:keepLines w:val="0"/>
        <w:pageBreakBefore w:val="0"/>
        <w:widowControl w:val="0"/>
        <w:tabs>
          <w:tab w:val="left" w:pos="1008"/>
        </w:tabs>
        <w:kinsoku/>
        <w:wordWrap/>
        <w:overflowPunct/>
        <w:topLinePunct w:val="0"/>
        <w:bidi w:val="0"/>
        <w:snapToGrid/>
        <w:jc w:val="left"/>
        <w:textAlignment w:val="auto"/>
        <w:outlineLvl w:val="4"/>
        <w:rPr>
          <w:rFonts w:ascii="宋体" w:hAnsi="宋体" w:cs="宋体"/>
          <w:kern w:val="0"/>
          <w:szCs w:val="21"/>
        </w:rPr>
      </w:pPr>
      <w:bookmarkStart w:id="440" w:name="_Toc351203609"/>
      <w:bookmarkStart w:id="441" w:name="_Toc337558825"/>
      <w:bookmarkStart w:id="442" w:name="_Toc296346619"/>
      <w:bookmarkStart w:id="443" w:name="_Toc296503118"/>
      <w:r>
        <w:rPr>
          <w:rFonts w:hint="eastAsia" w:ascii="宋体" w:hAnsi="宋体" w:cs="宋体"/>
          <w:kern w:val="0"/>
          <w:szCs w:val="21"/>
        </w:rPr>
        <w:t>17.2 不可抗力的通知</w:t>
      </w:r>
      <w:bookmarkEnd w:id="440"/>
    </w:p>
    <w:bookmarkEnd w:id="441"/>
    <w:bookmarkEnd w:id="442"/>
    <w:bookmarkEnd w:id="443"/>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合同一方当事人遇到不可抗力事件，使其履行合同义务受到阻碍时，应立即通知合同另一方当事人和监理人，书面说明不可抗力和受阻碍的详细情况，并提供必要的证明。</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不可抗力持续发生的，合同一方当事人应及时向合同另一方当事人和监理人提交中间报告，说明不可抗力和履行合同受阻的情况，并于不可抗力事件结束后28天内提交最终报告及有关资料。</w:t>
      </w:r>
    </w:p>
    <w:p>
      <w:pPr>
        <w:keepNext w:val="0"/>
        <w:keepLines w:val="0"/>
        <w:pageBreakBefore w:val="0"/>
        <w:widowControl w:val="0"/>
        <w:tabs>
          <w:tab w:val="left" w:pos="1008"/>
        </w:tabs>
        <w:kinsoku/>
        <w:wordWrap/>
        <w:overflowPunct/>
        <w:topLinePunct w:val="0"/>
        <w:bidi w:val="0"/>
        <w:snapToGrid/>
        <w:jc w:val="left"/>
        <w:textAlignment w:val="auto"/>
        <w:outlineLvl w:val="4"/>
        <w:rPr>
          <w:rFonts w:ascii="宋体" w:hAnsi="宋体" w:cs="宋体"/>
          <w:kern w:val="0"/>
          <w:szCs w:val="21"/>
        </w:rPr>
      </w:pPr>
      <w:bookmarkStart w:id="444" w:name="_Toc351203610"/>
      <w:bookmarkStart w:id="445" w:name="_Toc296346620"/>
      <w:bookmarkStart w:id="446" w:name="_Toc296503119"/>
      <w:bookmarkStart w:id="447" w:name="_Toc337558826"/>
      <w:r>
        <w:rPr>
          <w:rFonts w:hint="eastAsia" w:ascii="宋体" w:hAnsi="宋体" w:cs="宋体"/>
          <w:kern w:val="0"/>
          <w:szCs w:val="21"/>
        </w:rPr>
        <w:t>17.3 不可抗力后果的承担</w:t>
      </w:r>
      <w:bookmarkEnd w:id="444"/>
    </w:p>
    <w:bookmarkEnd w:id="445"/>
    <w:bookmarkEnd w:id="446"/>
    <w:bookmarkEnd w:id="447"/>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17.3.1 不可抗力引起的后果及造成的损失由合同当事人按照法律规定及合同约定各自承担。不可抗力发生前已完成的工程应当按照合同约定进行计量支付。</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17.3.2 不可抗力导致的人员伤亡、财产损失、费用增加和（或）工期延误等后果，由合同当事人按以下原则承担：</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（1）永久工程、已运至施工现场的材料和工程设备的损坏，以及因工程损坏造成的第三人人员伤亡和财产损失由发包人承担；</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（2）承包人施工设备的损坏由承包人承担；</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（3）发包人和承包人承担各自人员伤亡和财产的损失；</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（4）因不可抗力影响承包人履行合同约定的义务，已经引起或将引起工期延误的，应当顺延工期，由此导致承包人停工的费用损失由发包人和承包人合理分担，停工期间必须支付的工人工资由发包人承担；</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（5）因不可抗力引起或将引起工期延误，发包人要求赶工的，由此增加的赶工费用由发包人承担；</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（6）承包人在停工期间按照发包人要求照管、清理和修复工程的费用由发包人承担。</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不可抗力发生后，合同当事人均应采取措施尽量避免和减少损失的扩大，任何一方当事人没有采取有效措施导致损失扩大的，应对扩大的损失承担责任。</w:t>
      </w:r>
    </w:p>
    <w:p>
      <w:pPr>
        <w:keepNext w:val="0"/>
        <w:keepLines w:val="0"/>
        <w:pageBreakBefore w:val="0"/>
        <w:widowControl w:val="0"/>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因合同一方迟延履行合同义务，在迟延履行期间遭遇不可抗力的，不免除其违约责任。</w:t>
      </w:r>
    </w:p>
    <w:p>
      <w:pPr>
        <w:keepNext w:val="0"/>
        <w:keepLines w:val="0"/>
        <w:pageBreakBefore w:val="0"/>
        <w:widowControl w:val="0"/>
        <w:tabs>
          <w:tab w:val="left" w:pos="1008"/>
        </w:tabs>
        <w:kinsoku/>
        <w:wordWrap/>
        <w:overflowPunct/>
        <w:topLinePunct w:val="0"/>
        <w:bidi w:val="0"/>
        <w:snapToGrid/>
        <w:jc w:val="left"/>
        <w:textAlignment w:val="auto"/>
        <w:outlineLvl w:val="4"/>
        <w:rPr>
          <w:rFonts w:ascii="宋体" w:hAnsi="宋体" w:cs="宋体"/>
          <w:kern w:val="0"/>
          <w:szCs w:val="21"/>
        </w:rPr>
      </w:pPr>
      <w:bookmarkStart w:id="448" w:name="_Toc351203611"/>
      <w:bookmarkStart w:id="449" w:name="_Toc337558827"/>
      <w:r>
        <w:rPr>
          <w:rFonts w:hint="eastAsia" w:ascii="宋体" w:hAnsi="宋体" w:cs="宋体"/>
          <w:kern w:val="0"/>
          <w:szCs w:val="21"/>
        </w:rPr>
        <w:t>17.4 因不可抗力解除合同</w:t>
      </w:r>
      <w:bookmarkEnd w:id="448"/>
    </w:p>
    <w:bookmarkEnd w:id="449"/>
    <w:p>
      <w:pPr>
        <w:keepNext w:val="0"/>
        <w:keepLines w:val="0"/>
        <w:pageBreakBefore w:val="0"/>
        <w:widowControl w:val="0"/>
        <w:kinsoku/>
        <w:wordWrap/>
        <w:overflowPunct/>
        <w:topLinePunct w:val="0"/>
        <w:bidi w:val="0"/>
        <w:snapToGrid/>
        <w:ind w:firstLine="420" w:firstLineChars="200"/>
        <w:jc w:val="left"/>
        <w:textAlignment w:val="auto"/>
        <w:rPr>
          <w:rFonts w:ascii="宋体" w:hAnsi="宋体" w:cs="宋体"/>
          <w:kern w:val="0"/>
          <w:szCs w:val="21"/>
        </w:rPr>
      </w:pPr>
      <w:r>
        <w:rPr>
          <w:rFonts w:hint="eastAsia" w:ascii="宋体" w:hAnsi="宋体" w:cs="宋体"/>
          <w:kern w:val="0"/>
          <w:szCs w:val="21"/>
        </w:rPr>
        <w:t>因不可抗力导致合同无法履行连续超过84天或累计超过140天的，发包人和承包人均有权解除合同。合同解除后，由双方当事人按照第4.4款〔商定或确定〕商定或确定发包人应支付的款项，该款项包括：</w:t>
      </w:r>
    </w:p>
    <w:p>
      <w:pPr>
        <w:ind w:firstLine="420" w:firstLineChars="200"/>
        <w:jc w:val="left"/>
        <w:rPr>
          <w:rFonts w:ascii="宋体" w:hAnsi="宋体" w:cs="宋体"/>
          <w:kern w:val="0"/>
          <w:szCs w:val="21"/>
        </w:rPr>
      </w:pPr>
      <w:r>
        <w:rPr>
          <w:rFonts w:hint="eastAsia" w:ascii="宋体" w:hAnsi="宋体" w:cs="宋体"/>
          <w:kern w:val="0"/>
          <w:szCs w:val="21"/>
        </w:rPr>
        <w:t>（1）合同解除前承包人已完成工作的价款；</w:t>
      </w:r>
    </w:p>
    <w:p>
      <w:pPr>
        <w:ind w:firstLine="420" w:firstLineChars="200"/>
        <w:jc w:val="left"/>
        <w:rPr>
          <w:rFonts w:ascii="宋体" w:hAnsi="宋体" w:cs="宋体"/>
          <w:kern w:val="0"/>
          <w:szCs w:val="21"/>
        </w:rPr>
      </w:pPr>
      <w:r>
        <w:rPr>
          <w:rFonts w:hint="eastAsia" w:ascii="宋体" w:hAnsi="宋体" w:cs="宋体"/>
          <w:kern w:val="0"/>
          <w:szCs w:val="21"/>
        </w:rPr>
        <w:t>（2）承包人为工程订购的并已交付给承包人，或承包人有责任接受交付的材料、工程设备和其他物品的价款；</w:t>
      </w:r>
    </w:p>
    <w:p>
      <w:pPr>
        <w:ind w:firstLine="420" w:firstLineChars="200"/>
        <w:jc w:val="left"/>
        <w:rPr>
          <w:rFonts w:ascii="宋体" w:hAnsi="宋体" w:cs="宋体"/>
          <w:kern w:val="0"/>
          <w:szCs w:val="21"/>
        </w:rPr>
      </w:pPr>
      <w:r>
        <w:rPr>
          <w:rFonts w:hint="eastAsia" w:ascii="宋体" w:hAnsi="宋体" w:cs="宋体"/>
          <w:kern w:val="0"/>
          <w:szCs w:val="21"/>
        </w:rPr>
        <w:t>（3）发包人要求承包人退货或解除订货合同而产生的费用，或因不能退货或解除合同而产生的损失；</w:t>
      </w:r>
    </w:p>
    <w:p>
      <w:pPr>
        <w:ind w:firstLine="420" w:firstLineChars="200"/>
        <w:jc w:val="left"/>
        <w:rPr>
          <w:rFonts w:ascii="宋体" w:hAnsi="宋体" w:cs="宋体"/>
          <w:kern w:val="0"/>
          <w:szCs w:val="21"/>
        </w:rPr>
      </w:pPr>
      <w:r>
        <w:rPr>
          <w:rFonts w:hint="eastAsia" w:ascii="宋体" w:hAnsi="宋体" w:cs="宋体"/>
          <w:kern w:val="0"/>
          <w:szCs w:val="21"/>
        </w:rPr>
        <w:t>（4）承包人撤离施工现场以及遣散承包人人员的费用；</w:t>
      </w:r>
    </w:p>
    <w:p>
      <w:pPr>
        <w:ind w:firstLine="420" w:firstLineChars="200"/>
        <w:jc w:val="left"/>
        <w:rPr>
          <w:rFonts w:ascii="宋体" w:hAnsi="宋体" w:cs="宋体"/>
          <w:kern w:val="0"/>
          <w:szCs w:val="21"/>
        </w:rPr>
      </w:pPr>
      <w:r>
        <w:rPr>
          <w:rFonts w:hint="eastAsia" w:ascii="宋体" w:hAnsi="宋体" w:cs="宋体"/>
          <w:kern w:val="0"/>
          <w:szCs w:val="21"/>
        </w:rPr>
        <w:t>（5）按照合同约定在合同解除前应支付给承包人的其他款项；</w:t>
      </w:r>
    </w:p>
    <w:p>
      <w:pPr>
        <w:ind w:firstLine="420" w:firstLineChars="200"/>
        <w:jc w:val="left"/>
        <w:rPr>
          <w:rFonts w:ascii="宋体" w:hAnsi="宋体" w:cs="宋体"/>
          <w:kern w:val="0"/>
          <w:szCs w:val="21"/>
        </w:rPr>
      </w:pPr>
      <w:r>
        <w:rPr>
          <w:rFonts w:hint="eastAsia" w:ascii="宋体" w:hAnsi="宋体" w:cs="宋体"/>
          <w:kern w:val="0"/>
          <w:szCs w:val="21"/>
        </w:rPr>
        <w:t>（6）扣减承包人按照合同约定应向发包人支付的款项；</w:t>
      </w:r>
    </w:p>
    <w:p>
      <w:pPr>
        <w:ind w:firstLine="420" w:firstLineChars="200"/>
        <w:jc w:val="left"/>
        <w:rPr>
          <w:rFonts w:ascii="宋体" w:hAnsi="宋体" w:cs="宋体"/>
          <w:kern w:val="0"/>
          <w:szCs w:val="21"/>
        </w:rPr>
      </w:pPr>
      <w:r>
        <w:rPr>
          <w:rFonts w:hint="eastAsia" w:ascii="宋体" w:hAnsi="宋体" w:cs="宋体"/>
          <w:kern w:val="0"/>
          <w:szCs w:val="21"/>
        </w:rPr>
        <w:t>（7）双方商定或确定的其他款项。</w:t>
      </w:r>
    </w:p>
    <w:p>
      <w:pPr>
        <w:ind w:firstLine="420" w:firstLineChars="200"/>
        <w:jc w:val="left"/>
        <w:rPr>
          <w:rFonts w:ascii="宋体" w:hAnsi="宋体" w:cs="宋体"/>
          <w:kern w:val="0"/>
          <w:szCs w:val="21"/>
        </w:rPr>
      </w:pPr>
      <w:r>
        <w:rPr>
          <w:rFonts w:hint="eastAsia" w:ascii="宋体" w:hAnsi="宋体" w:cs="宋体"/>
          <w:kern w:val="0"/>
          <w:szCs w:val="21"/>
        </w:rPr>
        <w:t>除专用合同条款另有约定外，合同解除后，发包人应在商定或确定上述款项后28天内完成上述款项的支付。</w:t>
      </w:r>
    </w:p>
    <w:p>
      <w:pPr>
        <w:keepNext/>
        <w:keepLines/>
        <w:tabs>
          <w:tab w:val="left" w:pos="864"/>
        </w:tabs>
        <w:jc w:val="left"/>
        <w:outlineLvl w:val="3"/>
        <w:rPr>
          <w:rFonts w:ascii="宋体" w:hAnsi="宋体" w:cs="宋体"/>
          <w:kern w:val="0"/>
          <w:szCs w:val="21"/>
        </w:rPr>
      </w:pPr>
      <w:bookmarkStart w:id="450" w:name="_Toc351203612"/>
      <w:bookmarkStart w:id="451" w:name="_Toc296346621"/>
      <w:bookmarkStart w:id="452" w:name="_Toc296503120"/>
      <w:bookmarkStart w:id="453" w:name="_Toc337558828"/>
      <w:r>
        <w:rPr>
          <w:rFonts w:hint="eastAsia" w:ascii="宋体" w:hAnsi="宋体" w:cs="宋体"/>
          <w:kern w:val="0"/>
          <w:szCs w:val="21"/>
        </w:rPr>
        <w:t>18. 保险</w:t>
      </w:r>
      <w:bookmarkEnd w:id="450"/>
    </w:p>
    <w:bookmarkEnd w:id="451"/>
    <w:bookmarkEnd w:id="452"/>
    <w:bookmarkEnd w:id="453"/>
    <w:p>
      <w:pPr>
        <w:keepNext/>
        <w:keepLines/>
        <w:tabs>
          <w:tab w:val="left" w:pos="1008"/>
        </w:tabs>
        <w:jc w:val="left"/>
        <w:outlineLvl w:val="4"/>
        <w:rPr>
          <w:rFonts w:ascii="宋体" w:hAnsi="宋体" w:cs="宋体"/>
          <w:kern w:val="0"/>
          <w:szCs w:val="21"/>
        </w:rPr>
      </w:pPr>
      <w:bookmarkStart w:id="454" w:name="_Toc351203613"/>
      <w:bookmarkStart w:id="455" w:name="_Toc296346622"/>
      <w:bookmarkStart w:id="456" w:name="_Toc296503121"/>
      <w:bookmarkStart w:id="457" w:name="_Toc337558829"/>
      <w:r>
        <w:rPr>
          <w:rFonts w:hint="eastAsia" w:ascii="宋体" w:hAnsi="宋体" w:cs="宋体"/>
          <w:kern w:val="0"/>
          <w:szCs w:val="21"/>
        </w:rPr>
        <w:t>18.1 工程保险</w:t>
      </w:r>
      <w:bookmarkEnd w:id="454"/>
    </w:p>
    <w:bookmarkEnd w:id="455"/>
    <w:bookmarkEnd w:id="456"/>
    <w:bookmarkEnd w:id="457"/>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除专用合同条款另有约定外，发包人应投保建筑工程一切险或安装工程一切险；发包人委托承包人投保的，因投保产生的保险费和其他相关费用由发包人承担。</w:t>
      </w:r>
    </w:p>
    <w:p>
      <w:pPr>
        <w:keepNext/>
        <w:keepLines/>
        <w:tabs>
          <w:tab w:val="left" w:pos="1008"/>
        </w:tabs>
        <w:jc w:val="left"/>
        <w:outlineLvl w:val="4"/>
        <w:rPr>
          <w:rFonts w:ascii="宋体" w:hAnsi="宋体" w:cs="宋体"/>
          <w:kern w:val="0"/>
          <w:szCs w:val="21"/>
        </w:rPr>
      </w:pPr>
      <w:bookmarkStart w:id="458" w:name="_Toc351203614"/>
      <w:bookmarkStart w:id="459" w:name="_Toc296503122"/>
      <w:bookmarkStart w:id="460" w:name="_Toc337558830"/>
      <w:bookmarkStart w:id="461" w:name="_Toc296346623"/>
      <w:r>
        <w:rPr>
          <w:rFonts w:hint="eastAsia" w:ascii="宋体" w:hAnsi="宋体" w:cs="宋体"/>
          <w:kern w:val="0"/>
          <w:szCs w:val="21"/>
        </w:rPr>
        <w:t>18.2 工伤保险</w:t>
      </w:r>
      <w:bookmarkEnd w:id="458"/>
    </w:p>
    <w:bookmarkEnd w:id="459"/>
    <w:bookmarkEnd w:id="460"/>
    <w:bookmarkEnd w:id="461"/>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18.2.1 发包人应依照法律规定参加工伤保险，并为在施工现场的全部员工办理工伤保险，缴纳工伤保险费，并要求监理人及由发包人为履行合同聘请的第三方依法参加工伤保险。</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18.2.2 承包人应依照法律规定参加工伤保险，并为其履行合同的全部员工办理工伤保险，缴纳工伤保险费，并要求分包人及由承包人为履行合同聘请的第三方依法参加工伤保险。</w:t>
      </w:r>
    </w:p>
    <w:p>
      <w:pPr>
        <w:keepNext/>
        <w:keepLines/>
        <w:tabs>
          <w:tab w:val="left" w:pos="1008"/>
        </w:tabs>
        <w:jc w:val="left"/>
        <w:outlineLvl w:val="4"/>
        <w:rPr>
          <w:rFonts w:ascii="宋体" w:hAnsi="宋体" w:cs="宋体"/>
          <w:kern w:val="0"/>
          <w:szCs w:val="21"/>
        </w:rPr>
      </w:pPr>
      <w:bookmarkStart w:id="462" w:name="_Toc351203615"/>
      <w:bookmarkStart w:id="463" w:name="_Toc337558831"/>
      <w:bookmarkStart w:id="464" w:name="_Toc296503125"/>
      <w:bookmarkStart w:id="465" w:name="_Toc296346626"/>
      <w:r>
        <w:rPr>
          <w:rFonts w:hint="eastAsia" w:ascii="宋体" w:hAnsi="宋体" w:cs="宋体"/>
          <w:kern w:val="0"/>
          <w:szCs w:val="21"/>
        </w:rPr>
        <w:t>18.3其他保险</w:t>
      </w:r>
      <w:bookmarkEnd w:id="462"/>
    </w:p>
    <w:bookmarkEnd w:id="463"/>
    <w:bookmarkEnd w:id="464"/>
    <w:bookmarkEnd w:id="465"/>
    <w:p>
      <w:pPr>
        <w:ind w:firstLine="420" w:firstLineChars="200"/>
        <w:jc w:val="left"/>
        <w:rPr>
          <w:rFonts w:ascii="宋体" w:hAnsi="宋体" w:cs="宋体"/>
          <w:szCs w:val="21"/>
        </w:rPr>
      </w:pPr>
      <w:r>
        <w:rPr>
          <w:rFonts w:hint="eastAsia" w:ascii="宋体" w:hAnsi="宋体" w:cs="宋体"/>
          <w:szCs w:val="21"/>
        </w:rPr>
        <w:t>发包人和承包人可以为其施工现场的全部人员办理意外伤害保险并支付保险费，包括其员工及为履行合同聘请的第三方的人员，具体事项由合同当事人在专用合同条款约定。</w:t>
      </w:r>
    </w:p>
    <w:p>
      <w:pPr>
        <w:ind w:firstLine="420" w:firstLineChars="200"/>
        <w:jc w:val="left"/>
        <w:rPr>
          <w:rFonts w:ascii="宋体" w:hAnsi="宋体" w:cs="宋体"/>
          <w:szCs w:val="21"/>
        </w:rPr>
      </w:pPr>
      <w:r>
        <w:rPr>
          <w:rFonts w:hint="eastAsia" w:ascii="宋体" w:hAnsi="宋体" w:cs="宋体"/>
          <w:szCs w:val="21"/>
        </w:rPr>
        <w:t>除专用合同条款另有约定外，承包人应为其施工设备等办理财产保险。</w:t>
      </w:r>
    </w:p>
    <w:p>
      <w:pPr>
        <w:keepNext/>
        <w:keepLines/>
        <w:tabs>
          <w:tab w:val="left" w:pos="1008"/>
        </w:tabs>
        <w:jc w:val="left"/>
        <w:outlineLvl w:val="4"/>
        <w:rPr>
          <w:rFonts w:ascii="宋体" w:hAnsi="宋体" w:cs="宋体"/>
          <w:kern w:val="0"/>
          <w:szCs w:val="21"/>
        </w:rPr>
      </w:pPr>
      <w:bookmarkStart w:id="466" w:name="_Toc351203616"/>
      <w:r>
        <w:rPr>
          <w:rFonts w:hint="eastAsia" w:ascii="宋体" w:hAnsi="宋体" w:cs="宋体"/>
          <w:kern w:val="0"/>
          <w:szCs w:val="21"/>
        </w:rPr>
        <w:t>18.4持续保险</w:t>
      </w:r>
      <w:bookmarkEnd w:id="466"/>
    </w:p>
    <w:p>
      <w:pPr>
        <w:ind w:firstLine="420" w:firstLineChars="200"/>
        <w:jc w:val="left"/>
        <w:rPr>
          <w:rFonts w:ascii="宋体" w:hAnsi="宋体" w:cs="宋体"/>
          <w:szCs w:val="21"/>
        </w:rPr>
      </w:pPr>
      <w:r>
        <w:rPr>
          <w:rFonts w:hint="eastAsia" w:ascii="宋体" w:hAnsi="宋体" w:cs="宋体"/>
          <w:szCs w:val="21"/>
        </w:rPr>
        <w:t>合同当事人应与保险人保持联系，使保险人能够随时了解工程实施中的变动，并确保按保险合同条款要求持续保险。</w:t>
      </w:r>
    </w:p>
    <w:p>
      <w:pPr>
        <w:keepNext/>
        <w:keepLines/>
        <w:tabs>
          <w:tab w:val="left" w:pos="1008"/>
        </w:tabs>
        <w:jc w:val="left"/>
        <w:outlineLvl w:val="4"/>
        <w:rPr>
          <w:rFonts w:ascii="宋体" w:hAnsi="宋体" w:cs="宋体"/>
          <w:kern w:val="0"/>
          <w:szCs w:val="21"/>
        </w:rPr>
      </w:pPr>
      <w:bookmarkStart w:id="467" w:name="_Toc351203617"/>
      <w:bookmarkStart w:id="468" w:name="_Toc296346627"/>
      <w:bookmarkStart w:id="469" w:name="_Toc296503126"/>
      <w:bookmarkStart w:id="470" w:name="_Toc337558832"/>
      <w:r>
        <w:rPr>
          <w:rFonts w:hint="eastAsia" w:ascii="宋体" w:hAnsi="宋体" w:cs="宋体"/>
          <w:kern w:val="0"/>
          <w:szCs w:val="21"/>
        </w:rPr>
        <w:t>18.5 保险凭证</w:t>
      </w:r>
      <w:bookmarkEnd w:id="467"/>
    </w:p>
    <w:bookmarkEnd w:id="468"/>
    <w:bookmarkEnd w:id="469"/>
    <w:bookmarkEnd w:id="470"/>
    <w:p>
      <w:pPr>
        <w:ind w:firstLine="420" w:firstLineChars="200"/>
        <w:jc w:val="left"/>
        <w:rPr>
          <w:rFonts w:ascii="宋体" w:hAnsi="宋体" w:cs="宋体"/>
          <w:szCs w:val="21"/>
        </w:rPr>
      </w:pPr>
      <w:r>
        <w:rPr>
          <w:rFonts w:hint="eastAsia" w:ascii="宋体" w:hAnsi="宋体" w:cs="宋体"/>
          <w:szCs w:val="21"/>
        </w:rPr>
        <w:t>合同当事人应及时向另一方当事人提交其已投保的各项保险的凭证和保险单复印件。</w:t>
      </w:r>
    </w:p>
    <w:p>
      <w:pPr>
        <w:keepNext/>
        <w:keepLines/>
        <w:tabs>
          <w:tab w:val="left" w:pos="1008"/>
        </w:tabs>
        <w:jc w:val="left"/>
        <w:outlineLvl w:val="4"/>
        <w:rPr>
          <w:rFonts w:ascii="宋体" w:hAnsi="宋体" w:cs="宋体"/>
          <w:kern w:val="0"/>
          <w:szCs w:val="21"/>
        </w:rPr>
      </w:pPr>
      <w:bookmarkStart w:id="471" w:name="_Toc351203618"/>
      <w:bookmarkStart w:id="472" w:name="_Toc296503127"/>
      <w:bookmarkStart w:id="473" w:name="_Toc337558833"/>
      <w:bookmarkStart w:id="474" w:name="_Toc296346628"/>
      <w:r>
        <w:rPr>
          <w:rFonts w:hint="eastAsia" w:ascii="宋体" w:hAnsi="宋体" w:cs="宋体"/>
          <w:kern w:val="0"/>
          <w:szCs w:val="21"/>
        </w:rPr>
        <w:t>18.6 未按约定投保的补救</w:t>
      </w:r>
      <w:bookmarkEnd w:id="471"/>
    </w:p>
    <w:bookmarkEnd w:id="472"/>
    <w:bookmarkEnd w:id="473"/>
    <w:bookmarkEnd w:id="474"/>
    <w:p>
      <w:pPr>
        <w:ind w:firstLine="420" w:firstLineChars="200"/>
        <w:jc w:val="left"/>
        <w:rPr>
          <w:rFonts w:ascii="宋体" w:hAnsi="宋体" w:cs="宋体"/>
          <w:szCs w:val="21"/>
        </w:rPr>
      </w:pPr>
      <w:r>
        <w:rPr>
          <w:rFonts w:hint="eastAsia" w:ascii="宋体" w:hAnsi="宋体" w:cs="宋体"/>
          <w:szCs w:val="21"/>
        </w:rPr>
        <w:t>18.6.1发包人未按合同约定办理保险，或未能使保险持续有效的，则承包人可代为办理，所需费用由发包人承担。发包人未按合同约定办理保险，导致未能得到足额赔偿的，由发包人负责补足。</w:t>
      </w:r>
    </w:p>
    <w:p>
      <w:pPr>
        <w:ind w:firstLine="420" w:firstLineChars="200"/>
        <w:jc w:val="left"/>
        <w:rPr>
          <w:rFonts w:ascii="宋体" w:hAnsi="宋体" w:cs="宋体"/>
          <w:szCs w:val="21"/>
        </w:rPr>
      </w:pPr>
      <w:r>
        <w:rPr>
          <w:rFonts w:hint="eastAsia" w:ascii="宋体" w:hAnsi="宋体" w:cs="宋体"/>
          <w:szCs w:val="21"/>
        </w:rPr>
        <w:t>18.6.2承包人未按合同约定办理保险，或未能使保险持续有效的，则发包人可代为办理，所需费用由承包人承担。承包人未按合同约定办理保险，导致未能得到足额赔偿的，由承包人负责补足。</w:t>
      </w:r>
    </w:p>
    <w:p>
      <w:pPr>
        <w:keepNext/>
        <w:keepLines/>
        <w:tabs>
          <w:tab w:val="left" w:pos="1008"/>
        </w:tabs>
        <w:jc w:val="left"/>
        <w:outlineLvl w:val="4"/>
        <w:rPr>
          <w:rFonts w:ascii="宋体" w:hAnsi="宋体" w:cs="宋体"/>
          <w:kern w:val="0"/>
          <w:szCs w:val="21"/>
        </w:rPr>
      </w:pPr>
      <w:bookmarkStart w:id="475" w:name="_Toc351203619"/>
      <w:bookmarkStart w:id="476" w:name="_Toc337558834"/>
      <w:r>
        <w:rPr>
          <w:rFonts w:hint="eastAsia" w:ascii="宋体" w:hAnsi="宋体" w:cs="宋体"/>
          <w:kern w:val="0"/>
          <w:szCs w:val="21"/>
        </w:rPr>
        <w:t>18.7 通知义务</w:t>
      </w:r>
      <w:bookmarkEnd w:id="475"/>
    </w:p>
    <w:bookmarkEnd w:id="476"/>
    <w:p>
      <w:pPr>
        <w:ind w:firstLine="420" w:firstLineChars="200"/>
        <w:jc w:val="left"/>
        <w:rPr>
          <w:rFonts w:ascii="宋体" w:hAnsi="宋体" w:cs="宋体"/>
          <w:szCs w:val="21"/>
        </w:rPr>
      </w:pPr>
      <w:r>
        <w:rPr>
          <w:rFonts w:hint="eastAsia" w:ascii="宋体" w:hAnsi="宋体" w:cs="宋体"/>
          <w:szCs w:val="21"/>
        </w:rPr>
        <w:t>除专用合同条款另有约定外，发包人变更除工伤保险之外的保险合同时，应事先征得承包人同意，并通知监理人；承包人变更除工伤保险之外的保险合同时，应事先征得发包人同意，并通知监理人。</w:t>
      </w:r>
    </w:p>
    <w:p>
      <w:pPr>
        <w:ind w:firstLine="420" w:firstLineChars="200"/>
        <w:jc w:val="left"/>
        <w:rPr>
          <w:rFonts w:ascii="宋体" w:hAnsi="宋体" w:cs="宋体"/>
          <w:szCs w:val="21"/>
        </w:rPr>
      </w:pPr>
      <w:r>
        <w:rPr>
          <w:rFonts w:hint="eastAsia" w:ascii="宋体" w:hAnsi="宋体" w:cs="宋体"/>
          <w:szCs w:val="21"/>
        </w:rPr>
        <w:t>保险事故发生时，投保人应按照保险合同规定的条件和期限及时向保险人报告。发包人和承包人应当在知道保险事故发生后及时通知对方。</w:t>
      </w:r>
    </w:p>
    <w:p>
      <w:pPr>
        <w:keepNext/>
        <w:keepLines/>
        <w:tabs>
          <w:tab w:val="left" w:pos="864"/>
        </w:tabs>
        <w:jc w:val="left"/>
        <w:outlineLvl w:val="3"/>
        <w:rPr>
          <w:rFonts w:ascii="宋体" w:hAnsi="宋体" w:cs="宋体"/>
          <w:kern w:val="0"/>
          <w:szCs w:val="21"/>
        </w:rPr>
      </w:pPr>
      <w:bookmarkStart w:id="477" w:name="_Toc351203620"/>
      <w:bookmarkStart w:id="478" w:name="_Toc296346641"/>
      <w:bookmarkStart w:id="479" w:name="_Toc296503140"/>
      <w:bookmarkStart w:id="480" w:name="_Toc337558835"/>
      <w:r>
        <w:rPr>
          <w:rFonts w:hint="eastAsia" w:ascii="宋体" w:hAnsi="宋体" w:cs="宋体"/>
          <w:kern w:val="0"/>
          <w:szCs w:val="21"/>
        </w:rPr>
        <w:t>19. 索赔</w:t>
      </w:r>
      <w:bookmarkEnd w:id="477"/>
    </w:p>
    <w:bookmarkEnd w:id="478"/>
    <w:bookmarkEnd w:id="479"/>
    <w:bookmarkEnd w:id="480"/>
    <w:p>
      <w:pPr>
        <w:keepNext/>
        <w:keepLines/>
        <w:tabs>
          <w:tab w:val="left" w:pos="1008"/>
        </w:tabs>
        <w:jc w:val="left"/>
        <w:outlineLvl w:val="4"/>
        <w:rPr>
          <w:rFonts w:ascii="宋体" w:hAnsi="宋体" w:cs="宋体"/>
          <w:kern w:val="0"/>
          <w:szCs w:val="21"/>
        </w:rPr>
      </w:pPr>
      <w:bookmarkStart w:id="481" w:name="_Toc351203621"/>
      <w:bookmarkStart w:id="482" w:name="_Toc296346642"/>
      <w:bookmarkStart w:id="483" w:name="_Toc337558836"/>
      <w:bookmarkStart w:id="484" w:name="_Toc296503141"/>
      <w:r>
        <w:rPr>
          <w:rFonts w:hint="eastAsia" w:ascii="宋体" w:hAnsi="宋体" w:cs="宋体"/>
          <w:kern w:val="0"/>
          <w:szCs w:val="21"/>
        </w:rPr>
        <w:t>19.1承包人的索赔</w:t>
      </w:r>
      <w:bookmarkEnd w:id="481"/>
    </w:p>
    <w:bookmarkEnd w:id="482"/>
    <w:bookmarkEnd w:id="483"/>
    <w:bookmarkEnd w:id="484"/>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根据合同约定，承包人认为有权得到追加付款和（或）延长工期的，应按以下程序向发包人提出索赔：</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（1）承包人应在知道或应当知道索赔事件发生后28天内，向监理人递交索赔意向通知书，并说明发生索赔事件的事由；承包人未在前述28天内发出索赔意向通知书的，丧失要求追加付款和（或）延长工期的权利；</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（2）承包人应在发出索赔意向通知书后28天内，向监理人正式递交索赔报告；索赔报告应详细说明索赔理由以及要求追加的付款金额和（或）延长的工期，并附必要的记录和证明材料；</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（3）索赔事件具有持续影响的，承包人应按合理时间间隔继续递交延续索赔通知，说明持续影响的实际情况和记录，列出累计的追加付款金额和（或）工期延长天数；</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（4）在索赔事件影响结束后28天内，承包人应向监理人递交最终索赔报告，说明最终要求索赔的追加付款金额和（或）延长的工期，并附必要的记录和证明材料。</w:t>
      </w:r>
    </w:p>
    <w:p>
      <w:pPr>
        <w:keepNext/>
        <w:keepLines/>
        <w:tabs>
          <w:tab w:val="left" w:pos="1008"/>
        </w:tabs>
        <w:jc w:val="left"/>
        <w:outlineLvl w:val="4"/>
        <w:rPr>
          <w:rFonts w:ascii="宋体" w:hAnsi="宋体" w:cs="宋体"/>
          <w:kern w:val="0"/>
          <w:szCs w:val="21"/>
        </w:rPr>
      </w:pPr>
      <w:bookmarkStart w:id="485" w:name="_Toc351203622"/>
      <w:bookmarkStart w:id="486" w:name="_Toc337558837"/>
      <w:bookmarkStart w:id="487" w:name="_Toc296503142"/>
      <w:bookmarkStart w:id="488" w:name="_Toc296346643"/>
      <w:r>
        <w:rPr>
          <w:rFonts w:hint="eastAsia" w:ascii="宋体" w:hAnsi="宋体" w:cs="宋体"/>
          <w:kern w:val="0"/>
          <w:szCs w:val="21"/>
        </w:rPr>
        <w:t>19.2 对承包人索赔的处理</w:t>
      </w:r>
      <w:bookmarkEnd w:id="485"/>
    </w:p>
    <w:bookmarkEnd w:id="486"/>
    <w:bookmarkEnd w:id="487"/>
    <w:bookmarkEnd w:id="488"/>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对承包人索赔的处理如下：</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（1）监理人应在收到索赔报告后14天内完成审查并报送发包人。监理人对索赔报告存在异议的，有权要求承包人提交全部原始记录副本；</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（2）发包人应在监理人收到索赔报告或有关索赔的进一步证明材料后的28天内，由监理人向承包人出具经发包人签认的索赔处理结果。发包人逾期答复的，则视为认可承包人的索赔要求；</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（3）承包人接受索赔处理结果的，索赔款项在当期进度款中进行支付；承包人不接受索赔处理结果的，按照第20条〔争议解决〕约定处理。</w:t>
      </w:r>
    </w:p>
    <w:p>
      <w:pPr>
        <w:keepNext/>
        <w:keepLines/>
        <w:tabs>
          <w:tab w:val="left" w:pos="1008"/>
        </w:tabs>
        <w:jc w:val="left"/>
        <w:outlineLvl w:val="4"/>
        <w:rPr>
          <w:rFonts w:ascii="宋体" w:hAnsi="宋体" w:cs="宋体"/>
          <w:kern w:val="0"/>
          <w:szCs w:val="21"/>
        </w:rPr>
      </w:pPr>
      <w:bookmarkStart w:id="489" w:name="_Toc351203623"/>
      <w:bookmarkStart w:id="490" w:name="_Toc296346644"/>
      <w:bookmarkStart w:id="491" w:name="_Toc337558838"/>
      <w:bookmarkStart w:id="492" w:name="_Toc296503143"/>
      <w:r>
        <w:rPr>
          <w:rFonts w:hint="eastAsia" w:ascii="宋体" w:hAnsi="宋体" w:cs="宋体"/>
          <w:kern w:val="0"/>
          <w:szCs w:val="21"/>
        </w:rPr>
        <w:t>19.3发包人的索赔</w:t>
      </w:r>
      <w:bookmarkEnd w:id="489"/>
    </w:p>
    <w:bookmarkEnd w:id="490"/>
    <w:bookmarkEnd w:id="491"/>
    <w:bookmarkEnd w:id="492"/>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根据合同约定，发包人认为有权得到赔付金额和（或）延长缺陷责任期的，监理人应向承包人发出通知并附有详细的证明。</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发包人应在知道或应当知道索赔事件发生后28天内通过监理人向承包人提出索赔意向通知书，发包人未在前述28天内发出索赔意向通知书的，丧失要求赔付金额和（或）延长缺陷责任期的权利。发包人应在发出索赔意向通知书后28天内，通过监理人向承包人正式递交索赔报告。</w:t>
      </w:r>
    </w:p>
    <w:p>
      <w:pPr>
        <w:keepNext/>
        <w:keepLines/>
        <w:tabs>
          <w:tab w:val="left" w:pos="1008"/>
        </w:tabs>
        <w:jc w:val="left"/>
        <w:outlineLvl w:val="4"/>
        <w:rPr>
          <w:rFonts w:ascii="宋体" w:hAnsi="宋体" w:cs="宋体"/>
          <w:kern w:val="0"/>
          <w:szCs w:val="21"/>
        </w:rPr>
      </w:pPr>
      <w:bookmarkStart w:id="493" w:name="_Toc351203624"/>
      <w:bookmarkStart w:id="494" w:name="_Toc296346645"/>
      <w:bookmarkStart w:id="495" w:name="_Toc296503144"/>
      <w:bookmarkStart w:id="496" w:name="_Toc337558839"/>
      <w:r>
        <w:rPr>
          <w:rFonts w:hint="eastAsia" w:ascii="宋体" w:hAnsi="宋体" w:cs="宋体"/>
          <w:kern w:val="0"/>
          <w:szCs w:val="21"/>
        </w:rPr>
        <w:t>19.4 对发包人索赔的处理</w:t>
      </w:r>
      <w:bookmarkEnd w:id="493"/>
    </w:p>
    <w:bookmarkEnd w:id="494"/>
    <w:bookmarkEnd w:id="495"/>
    <w:bookmarkEnd w:id="496"/>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对发包人索赔的处理如下：</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（1）承包人收到发包人提交的索赔报告后，应及时审查索赔报告的内容、查验发包人证明材料；</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（2）承包人应在收到索赔报告或有关索赔的进一步证明材料后28天内，将索赔处理结果答复发包人。如果承包人未在上述期限内作出答复的，则视为对发包人索赔要求的认可；</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（3）承包人接受索赔处理结果的，发包人可从应支付给承包人的合同价款中扣除赔付的金额或延长缺陷责任期；发包人不接受索赔处理结果的，按第20条〔争议解决〕约定处理。</w:t>
      </w:r>
    </w:p>
    <w:p>
      <w:pPr>
        <w:keepNext/>
        <w:keepLines/>
        <w:tabs>
          <w:tab w:val="left" w:pos="1008"/>
        </w:tabs>
        <w:jc w:val="left"/>
        <w:outlineLvl w:val="4"/>
        <w:rPr>
          <w:rFonts w:ascii="宋体" w:hAnsi="宋体" w:cs="宋体"/>
          <w:kern w:val="0"/>
          <w:szCs w:val="21"/>
        </w:rPr>
      </w:pPr>
      <w:bookmarkStart w:id="497" w:name="_Toc351203625"/>
      <w:r>
        <w:rPr>
          <w:rFonts w:hint="eastAsia" w:ascii="宋体" w:hAnsi="宋体" w:cs="宋体"/>
          <w:kern w:val="0"/>
          <w:szCs w:val="21"/>
        </w:rPr>
        <w:t>19.5 提出索赔的期限</w:t>
      </w:r>
      <w:bookmarkEnd w:id="497"/>
    </w:p>
    <w:p>
      <w:pPr>
        <w:ind w:firstLine="420" w:firstLineChars="200"/>
        <w:rPr>
          <w:rFonts w:ascii="宋体" w:hAnsi="宋体" w:cs="宋体"/>
          <w:kern w:val="0"/>
          <w:szCs w:val="21"/>
        </w:rPr>
      </w:pPr>
      <w:r>
        <w:rPr>
          <w:rFonts w:hint="eastAsia" w:ascii="宋体" w:hAnsi="宋体" w:cs="宋体"/>
          <w:kern w:val="0"/>
          <w:szCs w:val="21"/>
        </w:rPr>
        <w:t>（1）承包人按第14.2款〔竣工结算审核〕约定接收竣工付款证书后，应被视为已无权再提出在工程接收证书颁发前所发生的任何索赔。</w:t>
      </w:r>
    </w:p>
    <w:p>
      <w:pPr>
        <w:ind w:firstLine="420" w:firstLineChars="200"/>
        <w:rPr>
          <w:rFonts w:ascii="宋体" w:hAnsi="宋体" w:cs="宋体"/>
          <w:kern w:val="0"/>
          <w:szCs w:val="21"/>
        </w:rPr>
      </w:pPr>
      <w:r>
        <w:rPr>
          <w:rFonts w:hint="eastAsia" w:ascii="宋体" w:hAnsi="宋体" w:cs="宋体"/>
          <w:kern w:val="0"/>
          <w:szCs w:val="21"/>
        </w:rPr>
        <w:t>（2）承包人按第14.4款〔最终结清〕提交的最终结清申请单中，只限于提出工程接收证书颁发后发生的索赔。提出索赔的期限自接受最终结清证书时终止。</w:t>
      </w:r>
    </w:p>
    <w:p>
      <w:pPr>
        <w:keepNext/>
        <w:keepLines/>
        <w:tabs>
          <w:tab w:val="left" w:pos="864"/>
        </w:tabs>
        <w:jc w:val="left"/>
        <w:outlineLvl w:val="3"/>
        <w:rPr>
          <w:rFonts w:ascii="宋体" w:hAnsi="宋体" w:cs="宋体"/>
          <w:kern w:val="0"/>
          <w:szCs w:val="21"/>
        </w:rPr>
      </w:pPr>
      <w:bookmarkStart w:id="498" w:name="_Toc351203626"/>
      <w:r>
        <w:rPr>
          <w:rFonts w:hint="eastAsia" w:ascii="宋体" w:hAnsi="宋体" w:cs="宋体"/>
          <w:kern w:val="0"/>
          <w:szCs w:val="21"/>
        </w:rPr>
        <w:t>20</w:t>
      </w:r>
      <w:bookmarkStart w:id="499" w:name="_Toc296503146"/>
      <w:bookmarkStart w:id="500" w:name="_Toc296346647"/>
      <w:bookmarkStart w:id="501" w:name="_Toc337558840"/>
      <w:r>
        <w:rPr>
          <w:rFonts w:hint="eastAsia" w:ascii="宋体" w:hAnsi="宋体" w:cs="宋体"/>
          <w:kern w:val="0"/>
          <w:szCs w:val="21"/>
        </w:rPr>
        <w:t>. 争议解决</w:t>
      </w:r>
      <w:bookmarkEnd w:id="498"/>
    </w:p>
    <w:bookmarkEnd w:id="499"/>
    <w:bookmarkEnd w:id="500"/>
    <w:bookmarkEnd w:id="501"/>
    <w:p>
      <w:pPr>
        <w:keepNext/>
        <w:keepLines/>
        <w:tabs>
          <w:tab w:val="left" w:pos="1008"/>
        </w:tabs>
        <w:jc w:val="left"/>
        <w:outlineLvl w:val="4"/>
        <w:rPr>
          <w:rFonts w:ascii="宋体" w:hAnsi="宋体" w:cs="宋体"/>
          <w:kern w:val="0"/>
          <w:szCs w:val="21"/>
        </w:rPr>
      </w:pPr>
      <w:bookmarkStart w:id="502" w:name="_Toc351203627"/>
      <w:bookmarkStart w:id="503" w:name="_Toc296503147"/>
      <w:bookmarkStart w:id="504" w:name="_Toc296346648"/>
      <w:bookmarkStart w:id="505" w:name="_Toc337558841"/>
      <w:r>
        <w:rPr>
          <w:rFonts w:hint="eastAsia" w:ascii="宋体" w:hAnsi="宋体" w:cs="宋体"/>
          <w:kern w:val="0"/>
          <w:szCs w:val="21"/>
        </w:rPr>
        <w:t>20.1和解</w:t>
      </w:r>
      <w:bookmarkEnd w:id="502"/>
    </w:p>
    <w:bookmarkEnd w:id="503"/>
    <w:bookmarkEnd w:id="504"/>
    <w:bookmarkEnd w:id="505"/>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合同当事人可以就争议自行和解，自行和解达成协议的经双方签字并盖章后作为合同补充文件，双方均应遵照执行。</w:t>
      </w:r>
    </w:p>
    <w:p>
      <w:pPr>
        <w:keepNext/>
        <w:keepLines/>
        <w:tabs>
          <w:tab w:val="left" w:pos="1008"/>
        </w:tabs>
        <w:jc w:val="left"/>
        <w:outlineLvl w:val="4"/>
        <w:rPr>
          <w:rFonts w:ascii="宋体" w:hAnsi="宋体" w:cs="宋体"/>
          <w:kern w:val="0"/>
          <w:szCs w:val="21"/>
        </w:rPr>
      </w:pPr>
      <w:bookmarkStart w:id="506" w:name="_Toc351203628"/>
      <w:r>
        <w:rPr>
          <w:rFonts w:hint="eastAsia" w:ascii="宋体" w:hAnsi="宋体" w:cs="宋体"/>
          <w:kern w:val="0"/>
          <w:szCs w:val="21"/>
        </w:rPr>
        <w:t>20</w:t>
      </w:r>
      <w:bookmarkStart w:id="507" w:name="_Toc337558842"/>
      <w:bookmarkStart w:id="508" w:name="_Toc296503148"/>
      <w:bookmarkStart w:id="509" w:name="_Toc296346649"/>
      <w:r>
        <w:rPr>
          <w:rFonts w:hint="eastAsia" w:ascii="宋体" w:hAnsi="宋体" w:cs="宋体"/>
          <w:kern w:val="0"/>
          <w:szCs w:val="21"/>
        </w:rPr>
        <w:t>.2调解</w:t>
      </w:r>
      <w:bookmarkEnd w:id="506"/>
    </w:p>
    <w:bookmarkEnd w:id="507"/>
    <w:bookmarkEnd w:id="508"/>
    <w:bookmarkEnd w:id="509"/>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合同当事人可以就争议请求建设行政主管部门、行业协会或其他第三方进行调解，调解达成协议的，经双方签字并盖章后作为合同补充文件，双方均应遵照执行。</w:t>
      </w:r>
    </w:p>
    <w:p>
      <w:pPr>
        <w:keepNext/>
        <w:keepLines/>
        <w:tabs>
          <w:tab w:val="left" w:pos="1008"/>
        </w:tabs>
        <w:jc w:val="left"/>
        <w:outlineLvl w:val="4"/>
        <w:rPr>
          <w:rFonts w:ascii="宋体" w:hAnsi="宋体" w:cs="宋体"/>
          <w:kern w:val="0"/>
          <w:szCs w:val="21"/>
        </w:rPr>
      </w:pPr>
      <w:bookmarkStart w:id="510" w:name="_Toc351203629"/>
      <w:bookmarkStart w:id="511" w:name="_Toc337558843"/>
      <w:bookmarkStart w:id="512" w:name="_Toc296503149"/>
      <w:bookmarkStart w:id="513" w:name="_Toc296346650"/>
      <w:r>
        <w:rPr>
          <w:rFonts w:hint="eastAsia" w:ascii="宋体" w:hAnsi="宋体" w:cs="宋体"/>
          <w:kern w:val="0"/>
          <w:szCs w:val="21"/>
        </w:rPr>
        <w:t>20.3争议评审</w:t>
      </w:r>
      <w:bookmarkEnd w:id="510"/>
    </w:p>
    <w:bookmarkEnd w:id="511"/>
    <w:bookmarkEnd w:id="512"/>
    <w:bookmarkEnd w:id="513"/>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合同当事人在专用合同条款中约定采取争议评审方式解决争议以及评审规则，并按下列约定执行：</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20.3.1 争议评审小组的确定</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合同当事人可以共同选择一名或三名争议评审员，组成争议评审小组。除专用合同条款另有约定外，合同当事人应当自合同签订后28天内，或者争议发生后14天内，选定争议评审员。</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选择一名争议评审员的，由合同当事人共同确定；选择三名争议评审员的，各自选定一名，第三名成员为首席争议评审员，由合同当事人共同确定或由合同当事人委托已选定的争议评审员共同确定，或由专用合同条款约定的评审机构指定第三名首席争议评审员。</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除专用合同条款另有约定外，评审员报酬由发包人和承包人各承担一半。</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20.3.2 争议评审小组的决定</w:t>
      </w:r>
    </w:p>
    <w:p>
      <w:pPr>
        <w:widowControl w:val="0"/>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合同当事人可在任何时间将与合同有关的任何争议共同提请争议评审小组进行评审。争议评审小组应秉持客观、公正原则，充分听取合同当事人的意见，依据相关法律、规范、标准、案例经验及商业惯例等，自收到争议评审申请报告后14天内作出书面决定，并说明理由。合同当事人可以在专用合同条款中对本项事项另行约定。</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20.3.3 争议评审小组决定的效力</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争议评审小组作出的书面决定经合同当事人签字确认后，对双方具有约束力，双方应遵照执行。</w:t>
      </w:r>
    </w:p>
    <w:p>
      <w:pPr>
        <w:keepNext w:val="0"/>
        <w:keepLines w:val="0"/>
        <w:pageBreakBefore w:val="0"/>
        <w:widowControl/>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任何一方当事人不接受争议评审小组决定或不履行争议评审小组决定的，双方可选择采用其他争议解决方式。</w:t>
      </w:r>
    </w:p>
    <w:p>
      <w:pPr>
        <w:keepNext w:val="0"/>
        <w:keepLines w:val="0"/>
        <w:pageBreakBefore w:val="0"/>
        <w:widowControl/>
        <w:tabs>
          <w:tab w:val="left" w:pos="1008"/>
        </w:tabs>
        <w:kinsoku/>
        <w:wordWrap/>
        <w:overflowPunct/>
        <w:topLinePunct w:val="0"/>
        <w:bidi w:val="0"/>
        <w:snapToGrid/>
        <w:jc w:val="left"/>
        <w:textAlignment w:val="auto"/>
        <w:outlineLvl w:val="4"/>
        <w:rPr>
          <w:rFonts w:ascii="宋体" w:hAnsi="宋体" w:cs="宋体"/>
          <w:kern w:val="0"/>
          <w:szCs w:val="21"/>
        </w:rPr>
      </w:pPr>
      <w:bookmarkStart w:id="514" w:name="_Toc351203630"/>
      <w:bookmarkStart w:id="515" w:name="_Toc296346651"/>
      <w:bookmarkStart w:id="516" w:name="_Toc337558844"/>
      <w:bookmarkStart w:id="517" w:name="_Toc296503150"/>
      <w:r>
        <w:rPr>
          <w:rFonts w:hint="eastAsia" w:ascii="宋体" w:hAnsi="宋体" w:cs="宋体"/>
          <w:kern w:val="0"/>
          <w:szCs w:val="21"/>
        </w:rPr>
        <w:t>20.4仲裁或诉讼</w:t>
      </w:r>
      <w:bookmarkEnd w:id="514"/>
    </w:p>
    <w:bookmarkEnd w:id="515"/>
    <w:bookmarkEnd w:id="516"/>
    <w:bookmarkEnd w:id="517"/>
    <w:p>
      <w:pPr>
        <w:keepNext w:val="0"/>
        <w:keepLines w:val="0"/>
        <w:pageBreakBefore w:val="0"/>
        <w:widowControl/>
        <w:kinsoku/>
        <w:wordWrap/>
        <w:overflowPunct/>
        <w:topLinePunct w:val="0"/>
        <w:autoSpaceDE w:val="0"/>
        <w:autoSpaceDN w:val="0"/>
        <w:bidi w:val="0"/>
        <w:adjustRightInd w:val="0"/>
        <w:snapToGrid/>
        <w:ind w:firstLine="420" w:firstLineChars="200"/>
        <w:jc w:val="left"/>
        <w:textAlignment w:val="auto"/>
        <w:rPr>
          <w:rFonts w:ascii="宋体" w:hAnsi="宋体" w:cs="宋体"/>
          <w:kern w:val="0"/>
          <w:szCs w:val="21"/>
        </w:rPr>
      </w:pPr>
      <w:r>
        <w:rPr>
          <w:rFonts w:hint="eastAsia" w:ascii="宋体" w:hAnsi="宋体" w:cs="宋体"/>
          <w:kern w:val="0"/>
          <w:szCs w:val="21"/>
        </w:rPr>
        <w:t>因合同及合同有关事项产生的争议，合同当事人可以在专用合同条款中约定以下一种方式解决争议：</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（1）向约定的仲裁委员会申请仲裁；</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（2）向有管辖权的人民法院起诉。</w:t>
      </w:r>
    </w:p>
    <w:p>
      <w:pPr>
        <w:keepNext/>
        <w:keepLines/>
        <w:tabs>
          <w:tab w:val="left" w:pos="1008"/>
        </w:tabs>
        <w:jc w:val="left"/>
        <w:outlineLvl w:val="4"/>
        <w:rPr>
          <w:rFonts w:ascii="宋体" w:hAnsi="宋体" w:cs="宋体"/>
          <w:kern w:val="0"/>
          <w:szCs w:val="21"/>
        </w:rPr>
      </w:pPr>
      <w:bookmarkStart w:id="518" w:name="_Toc351203631"/>
      <w:bookmarkStart w:id="519" w:name="_Toc296346653"/>
      <w:bookmarkStart w:id="520" w:name="_Toc337558845"/>
      <w:bookmarkStart w:id="521" w:name="_Toc296503152"/>
      <w:r>
        <w:rPr>
          <w:rFonts w:hint="eastAsia" w:ascii="宋体" w:hAnsi="宋体" w:cs="宋体"/>
          <w:kern w:val="0"/>
          <w:szCs w:val="21"/>
        </w:rPr>
        <w:t>20.5争议解决条款效力</w:t>
      </w:r>
      <w:bookmarkEnd w:id="518"/>
    </w:p>
    <w:bookmarkEnd w:id="519"/>
    <w:bookmarkEnd w:id="520"/>
    <w:bookmarkEnd w:id="521"/>
    <w:p>
      <w:pPr>
        <w:autoSpaceDE w:val="0"/>
        <w:autoSpaceDN w:val="0"/>
        <w:adjustRightInd w:val="0"/>
        <w:ind w:firstLine="420" w:firstLineChars="200"/>
        <w:jc w:val="left"/>
        <w:rPr>
          <w:rFonts w:ascii="宋体" w:hAnsi="宋体" w:cs="宋体"/>
          <w:sz w:val="24"/>
        </w:rPr>
      </w:pPr>
      <w:r>
        <w:rPr>
          <w:rFonts w:hint="eastAsia" w:ascii="宋体" w:hAnsi="宋体" w:cs="宋体"/>
          <w:kern w:val="0"/>
          <w:szCs w:val="21"/>
        </w:rPr>
        <w:t>合同有关争议解决的条款独立存在，合同的变更、解除、终止、无效或者被撤销均不影响其效力。</w:t>
      </w:r>
    </w:p>
    <w:p>
      <w:pPr>
        <w:rPr>
          <w:rFonts w:ascii="宋体" w:hAnsi="宋体" w:cs="宋体"/>
        </w:rPr>
      </w:pPr>
      <w:bookmarkStart w:id="522" w:name="_Toc1673"/>
      <w:bookmarkStart w:id="523" w:name="_Toc21808"/>
      <w:r>
        <w:rPr>
          <w:rFonts w:hint="eastAsia" w:ascii="宋体" w:hAnsi="宋体" w:cs="宋体"/>
        </w:rPr>
        <w:br w:type="page"/>
      </w:r>
    </w:p>
    <w:p>
      <w:pPr>
        <w:pStyle w:val="5"/>
        <w:tabs>
          <w:tab w:val="left" w:pos="576"/>
        </w:tabs>
        <w:spacing w:before="156"/>
        <w:ind w:left="576" w:hanging="576"/>
        <w:jc w:val="center"/>
        <w:rPr>
          <w:rFonts w:ascii="宋体" w:hAnsi="宋体" w:cs="宋体"/>
          <w:bCs w:val="0"/>
          <w:sz w:val="32"/>
        </w:rPr>
      </w:pPr>
      <w:bookmarkStart w:id="524" w:name="_Toc2488"/>
      <w:r>
        <w:rPr>
          <w:rFonts w:hint="eastAsia" w:ascii="宋体" w:hAnsi="宋体" w:cs="宋体"/>
          <w:bCs w:val="0"/>
          <w:sz w:val="32"/>
        </w:rPr>
        <w:t>第三部分 专用合同条款</w:t>
      </w:r>
      <w:bookmarkEnd w:id="524"/>
    </w:p>
    <w:p>
      <w:pPr>
        <w:pStyle w:val="7"/>
        <w:tabs>
          <w:tab w:val="left" w:pos="864"/>
        </w:tabs>
        <w:ind w:hanging="862"/>
        <w:rPr>
          <w:rFonts w:ascii="宋体" w:hAnsi="宋体" w:cs="宋体"/>
          <w:bCs w:val="0"/>
          <w:sz w:val="21"/>
          <w:szCs w:val="21"/>
        </w:rPr>
      </w:pPr>
      <w:r>
        <w:rPr>
          <w:rFonts w:hint="eastAsia" w:ascii="宋体" w:hAnsi="宋体" w:cs="宋体"/>
          <w:bCs w:val="0"/>
          <w:sz w:val="21"/>
          <w:szCs w:val="21"/>
        </w:rPr>
        <w:t>1. 一般约定</w:t>
      </w:r>
    </w:p>
    <w:p>
      <w:pPr>
        <w:ind w:firstLine="420" w:firstLineChars="200"/>
        <w:rPr>
          <w:rFonts w:ascii="宋体" w:hAnsi="宋体" w:cs="宋体"/>
          <w:szCs w:val="21"/>
        </w:rPr>
      </w:pPr>
      <w:r>
        <w:rPr>
          <w:rFonts w:hint="eastAsia" w:ascii="宋体" w:hAnsi="宋体" w:cs="宋体"/>
          <w:szCs w:val="21"/>
        </w:rPr>
        <w:t>1.1 词语定义</w:t>
      </w:r>
    </w:p>
    <w:p>
      <w:pPr>
        <w:ind w:firstLine="420" w:firstLineChars="200"/>
        <w:rPr>
          <w:rFonts w:ascii="宋体" w:hAnsi="宋体" w:cs="宋体"/>
          <w:kern w:val="0"/>
          <w:szCs w:val="21"/>
        </w:rPr>
      </w:pPr>
      <w:r>
        <w:rPr>
          <w:rFonts w:hint="eastAsia" w:ascii="宋体" w:hAnsi="宋体" w:cs="宋体"/>
          <w:kern w:val="0"/>
          <w:szCs w:val="21"/>
        </w:rPr>
        <w:t>1.1.1合同</w:t>
      </w:r>
    </w:p>
    <w:p>
      <w:pPr>
        <w:ind w:firstLine="420" w:firstLineChars="200"/>
        <w:rPr>
          <w:rFonts w:ascii="宋体" w:hAnsi="宋体" w:cs="宋体"/>
          <w:kern w:val="0"/>
          <w:szCs w:val="21"/>
        </w:rPr>
      </w:pPr>
      <w:r>
        <w:rPr>
          <w:rFonts w:hint="eastAsia" w:ascii="宋体" w:hAnsi="宋体" w:cs="宋体"/>
          <w:kern w:val="0"/>
          <w:szCs w:val="21"/>
        </w:rPr>
        <w:t>1.1.1.10其他合同文件包括：</w:t>
      </w:r>
      <w:r>
        <w:rPr>
          <w:rFonts w:hint="eastAsia" w:ascii="宋体" w:hAnsi="宋体" w:cs="宋体"/>
          <w:b/>
          <w:bCs/>
          <w:kern w:val="0"/>
          <w:szCs w:val="21"/>
          <w:u w:val="single"/>
        </w:rPr>
        <w:t>1</w:t>
      </w:r>
      <w:r>
        <w:rPr>
          <w:rFonts w:hint="eastAsia" w:ascii="宋体" w:hAnsi="宋体" w:cs="宋体"/>
          <w:b/>
          <w:kern w:val="0"/>
          <w:szCs w:val="21"/>
          <w:u w:val="single"/>
        </w:rPr>
        <w:t>、双方有效签章的往来书面文件；2、发包人印发的相关管理规定</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1.1.2 合同当事人及其他相关方</w:t>
      </w:r>
    </w:p>
    <w:p>
      <w:pPr>
        <w:ind w:firstLine="420" w:firstLineChars="200"/>
        <w:rPr>
          <w:rFonts w:ascii="宋体" w:hAnsi="宋体" w:cs="宋体"/>
          <w:szCs w:val="21"/>
        </w:rPr>
      </w:pPr>
      <w:r>
        <w:rPr>
          <w:rFonts w:hint="eastAsia" w:ascii="宋体" w:hAnsi="宋体" w:cs="宋体"/>
          <w:szCs w:val="21"/>
        </w:rPr>
        <w:t>1.1.2.4监理人：</w:t>
      </w:r>
    </w:p>
    <w:p>
      <w:pPr>
        <w:ind w:firstLine="420" w:firstLineChars="200"/>
        <w:rPr>
          <w:rFonts w:ascii="宋体" w:hAnsi="宋体" w:cs="宋体"/>
          <w:szCs w:val="21"/>
        </w:rPr>
      </w:pPr>
      <w:r>
        <w:rPr>
          <w:rFonts w:hint="eastAsia" w:ascii="宋体" w:hAnsi="宋体" w:cs="宋体"/>
          <w:szCs w:val="21"/>
        </w:rPr>
        <w:t>名称：；</w:t>
      </w:r>
    </w:p>
    <w:p>
      <w:pPr>
        <w:ind w:firstLine="420" w:firstLineChars="200"/>
        <w:rPr>
          <w:rFonts w:ascii="宋体" w:hAnsi="宋体" w:cs="宋体"/>
          <w:szCs w:val="21"/>
        </w:rPr>
      </w:pPr>
      <w:r>
        <w:rPr>
          <w:rFonts w:hint="eastAsia" w:ascii="宋体" w:hAnsi="宋体" w:cs="宋体"/>
          <w:szCs w:val="21"/>
        </w:rPr>
        <w:t>资质类别和等级：；</w:t>
      </w:r>
    </w:p>
    <w:p>
      <w:pPr>
        <w:ind w:firstLine="420" w:firstLineChars="200"/>
        <w:rPr>
          <w:rFonts w:ascii="宋体" w:hAnsi="宋体" w:cs="宋体"/>
          <w:szCs w:val="21"/>
        </w:rPr>
      </w:pPr>
      <w:r>
        <w:rPr>
          <w:rFonts w:hint="eastAsia" w:ascii="宋体" w:hAnsi="宋体" w:cs="宋体"/>
          <w:szCs w:val="21"/>
        </w:rPr>
        <w:t>联系电话：；</w:t>
      </w:r>
    </w:p>
    <w:p>
      <w:pPr>
        <w:ind w:firstLine="420" w:firstLineChars="200"/>
        <w:rPr>
          <w:rFonts w:ascii="宋体" w:hAnsi="宋体" w:cs="宋体"/>
          <w:szCs w:val="21"/>
        </w:rPr>
      </w:pPr>
      <w:r>
        <w:rPr>
          <w:rFonts w:hint="eastAsia" w:ascii="宋体" w:hAnsi="宋体" w:cs="宋体"/>
          <w:szCs w:val="21"/>
        </w:rPr>
        <w:t>电子信箱：；</w:t>
      </w:r>
    </w:p>
    <w:p>
      <w:pPr>
        <w:ind w:firstLine="420" w:firstLineChars="200"/>
        <w:rPr>
          <w:rFonts w:ascii="宋体" w:hAnsi="宋体" w:cs="宋体"/>
          <w:szCs w:val="21"/>
        </w:rPr>
      </w:pPr>
      <w:r>
        <w:rPr>
          <w:rFonts w:hint="eastAsia" w:ascii="宋体" w:hAnsi="宋体" w:cs="宋体"/>
          <w:szCs w:val="21"/>
        </w:rPr>
        <w:t>通信地址：。</w:t>
      </w:r>
    </w:p>
    <w:p>
      <w:pPr>
        <w:ind w:firstLine="420" w:firstLineChars="200"/>
        <w:rPr>
          <w:rFonts w:ascii="宋体" w:hAnsi="宋体" w:cs="宋体"/>
          <w:szCs w:val="21"/>
        </w:rPr>
      </w:pPr>
      <w:r>
        <w:rPr>
          <w:rFonts w:hint="eastAsia" w:ascii="宋体" w:hAnsi="宋体" w:cs="宋体"/>
          <w:szCs w:val="21"/>
        </w:rPr>
        <w:t>1.1.2.5 设计人：</w:t>
      </w:r>
    </w:p>
    <w:p>
      <w:pPr>
        <w:ind w:firstLine="420" w:firstLineChars="200"/>
        <w:rPr>
          <w:rFonts w:ascii="宋体" w:hAnsi="宋体" w:cs="宋体"/>
          <w:szCs w:val="21"/>
        </w:rPr>
      </w:pPr>
      <w:r>
        <w:rPr>
          <w:rFonts w:hint="eastAsia" w:ascii="宋体" w:hAnsi="宋体" w:cs="宋体"/>
          <w:szCs w:val="21"/>
        </w:rPr>
        <w:t>名称：；</w:t>
      </w:r>
    </w:p>
    <w:p>
      <w:pPr>
        <w:ind w:firstLine="420" w:firstLineChars="200"/>
        <w:rPr>
          <w:rFonts w:ascii="宋体" w:hAnsi="宋体" w:cs="宋体"/>
          <w:szCs w:val="21"/>
        </w:rPr>
      </w:pPr>
      <w:r>
        <w:rPr>
          <w:rFonts w:hint="eastAsia" w:ascii="宋体" w:hAnsi="宋体" w:cs="宋体"/>
          <w:szCs w:val="21"/>
        </w:rPr>
        <w:t>资质类别和等级：；</w:t>
      </w:r>
    </w:p>
    <w:p>
      <w:pPr>
        <w:ind w:firstLine="420" w:firstLineChars="200"/>
        <w:rPr>
          <w:rFonts w:ascii="宋体" w:hAnsi="宋体" w:cs="宋体"/>
          <w:szCs w:val="21"/>
        </w:rPr>
      </w:pPr>
      <w:r>
        <w:rPr>
          <w:rFonts w:hint="eastAsia" w:ascii="宋体" w:hAnsi="宋体" w:cs="宋体"/>
          <w:szCs w:val="21"/>
        </w:rPr>
        <w:t>联系电话：；</w:t>
      </w:r>
    </w:p>
    <w:p>
      <w:pPr>
        <w:ind w:firstLine="420" w:firstLineChars="200"/>
        <w:rPr>
          <w:rFonts w:ascii="宋体" w:hAnsi="宋体" w:cs="宋体"/>
          <w:szCs w:val="21"/>
        </w:rPr>
      </w:pPr>
      <w:r>
        <w:rPr>
          <w:rFonts w:hint="eastAsia" w:ascii="宋体" w:hAnsi="宋体" w:cs="宋体"/>
          <w:szCs w:val="21"/>
        </w:rPr>
        <w:t>电子信箱：；</w:t>
      </w:r>
    </w:p>
    <w:p>
      <w:pPr>
        <w:ind w:firstLine="420" w:firstLineChars="200"/>
        <w:rPr>
          <w:rFonts w:ascii="宋体" w:hAnsi="宋体" w:cs="宋体"/>
          <w:szCs w:val="21"/>
        </w:rPr>
      </w:pPr>
      <w:r>
        <w:rPr>
          <w:rFonts w:hint="eastAsia" w:ascii="宋体" w:hAnsi="宋体" w:cs="宋体"/>
          <w:szCs w:val="21"/>
        </w:rPr>
        <w:t>通信地址：。</w:t>
      </w:r>
    </w:p>
    <w:p>
      <w:pPr>
        <w:ind w:firstLine="420" w:firstLineChars="200"/>
        <w:rPr>
          <w:rFonts w:ascii="宋体" w:hAnsi="宋体" w:cs="宋体"/>
          <w:szCs w:val="21"/>
        </w:rPr>
      </w:pPr>
      <w:r>
        <w:rPr>
          <w:rFonts w:hint="eastAsia" w:ascii="宋体" w:hAnsi="宋体" w:cs="宋体"/>
          <w:szCs w:val="21"/>
        </w:rPr>
        <w:t>1.1.3 工程和设备</w:t>
      </w:r>
    </w:p>
    <w:p>
      <w:pPr>
        <w:ind w:firstLine="420" w:firstLineChars="200"/>
        <w:rPr>
          <w:rFonts w:ascii="宋体" w:hAnsi="宋体" w:cs="宋体"/>
          <w:szCs w:val="21"/>
        </w:rPr>
      </w:pPr>
      <w:r>
        <w:rPr>
          <w:rFonts w:hint="eastAsia" w:ascii="宋体" w:hAnsi="宋体" w:cs="宋体"/>
          <w:szCs w:val="21"/>
        </w:rPr>
        <w:t>1.1.3.7 作为施工现场组成部分的其他场所包括：</w:t>
      </w:r>
      <w:r>
        <w:rPr>
          <w:rFonts w:hint="eastAsia" w:ascii="宋体" w:hAnsi="宋体" w:cs="宋体"/>
          <w:b/>
          <w:szCs w:val="21"/>
          <w:u w:val="single"/>
        </w:rPr>
        <w:t>永久占地和临时占地</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1.1.3.9 永久占地包括：</w:t>
      </w:r>
      <w:r>
        <w:rPr>
          <w:rFonts w:hint="eastAsia" w:ascii="宋体" w:hAnsi="宋体" w:cs="宋体"/>
          <w:szCs w:val="21"/>
          <w:u w:val="single"/>
        </w:rPr>
        <w:t xml:space="preserve">           /</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1.1.3.10 临时占地包括：</w:t>
      </w:r>
      <w:r>
        <w:rPr>
          <w:rFonts w:hint="eastAsia" w:ascii="宋体" w:hAnsi="宋体" w:cs="宋体"/>
          <w:szCs w:val="21"/>
          <w:u w:val="single"/>
        </w:rPr>
        <w:t xml:space="preserve">          /</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1.3法律</w:t>
      </w:r>
    </w:p>
    <w:p>
      <w:pPr>
        <w:ind w:firstLine="420" w:firstLineChars="200"/>
        <w:rPr>
          <w:rFonts w:ascii="宋体" w:hAnsi="宋体" w:cs="宋体"/>
          <w:szCs w:val="21"/>
        </w:rPr>
      </w:pPr>
      <w:r>
        <w:rPr>
          <w:rFonts w:hint="eastAsia" w:ascii="宋体" w:hAnsi="宋体" w:cs="宋体"/>
          <w:szCs w:val="21"/>
        </w:rPr>
        <w:t>适用于合同的其他规范性文件：</w:t>
      </w:r>
      <w:r>
        <w:rPr>
          <w:rFonts w:hint="eastAsia" w:ascii="宋体" w:hAnsi="宋体" w:cs="宋体"/>
          <w:b/>
          <w:szCs w:val="21"/>
          <w:u w:val="single"/>
        </w:rPr>
        <w:t>现行国家、省和市有关规定及标准</w:t>
      </w:r>
      <w:r>
        <w:rPr>
          <w:rFonts w:hint="eastAsia" w:ascii="宋体" w:hAnsi="宋体" w:cs="宋体"/>
          <w:szCs w:val="21"/>
        </w:rPr>
        <w:t>。</w:t>
      </w:r>
    </w:p>
    <w:p>
      <w:pPr>
        <w:keepNext w:val="0"/>
        <w:keepLines w:val="0"/>
        <w:pageBreakBefore w:val="0"/>
        <w:widowControl w:val="0"/>
        <w:kinsoku w:val="0"/>
        <w:wordWrap/>
        <w:overflowPunct w:val="0"/>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szCs w:val="21"/>
        </w:rPr>
        <w:t>1.4 标准和规范</w:t>
      </w:r>
    </w:p>
    <w:p>
      <w:pPr>
        <w:keepNext w:val="0"/>
        <w:keepLines w:val="0"/>
        <w:pageBreakBefore w:val="0"/>
        <w:widowControl w:val="0"/>
        <w:kinsoku w:val="0"/>
        <w:wordWrap/>
        <w:overflowPunct w:val="0"/>
        <w:topLinePunct w:val="0"/>
        <w:autoSpaceDE/>
        <w:autoSpaceDN/>
        <w:bidi w:val="0"/>
        <w:adjustRightInd/>
        <w:snapToGrid/>
        <w:ind w:firstLine="420" w:firstLineChars="200"/>
        <w:textAlignment w:val="auto"/>
        <w:rPr>
          <w:rFonts w:ascii="宋体" w:hAnsi="宋体" w:cs="宋体"/>
          <w:b/>
          <w:kern w:val="0"/>
          <w:szCs w:val="21"/>
          <w:u w:val="single"/>
        </w:rPr>
      </w:pPr>
      <w:r>
        <w:rPr>
          <w:rFonts w:hint="eastAsia" w:ascii="宋体" w:hAnsi="宋体" w:cs="宋体"/>
          <w:szCs w:val="21"/>
        </w:rPr>
        <w:t>1.4.1适用于工程的标准规范包括：</w:t>
      </w:r>
      <w:r>
        <w:rPr>
          <w:rFonts w:hint="eastAsia" w:ascii="宋体" w:hAnsi="宋体" w:cs="宋体"/>
          <w:bCs/>
          <w:spacing w:val="-4"/>
          <w:szCs w:val="21"/>
        </w:rPr>
        <w:t>；</w:t>
      </w:r>
    </w:p>
    <w:p>
      <w:pPr>
        <w:keepNext w:val="0"/>
        <w:keepLines w:val="0"/>
        <w:pageBreakBefore w:val="0"/>
        <w:widowControl w:val="0"/>
        <w:kinsoku w:val="0"/>
        <w:wordWrap/>
        <w:overflowPunct w:val="0"/>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szCs w:val="21"/>
        </w:rPr>
        <w:t>1.4.2 发包人提供国外标准、规范的名称：</w:t>
      </w:r>
      <w:r>
        <w:rPr>
          <w:rFonts w:hint="eastAsia" w:ascii="宋体" w:hAnsi="宋体" w:cs="宋体"/>
          <w:b/>
          <w:kern w:val="0"/>
          <w:szCs w:val="21"/>
          <w:u w:val="single"/>
        </w:rPr>
        <w:t>/</w:t>
      </w:r>
      <w:r>
        <w:rPr>
          <w:rFonts w:hint="eastAsia" w:ascii="宋体" w:hAnsi="宋体" w:cs="宋体"/>
          <w:szCs w:val="21"/>
        </w:rPr>
        <w:t>；</w:t>
      </w:r>
    </w:p>
    <w:p>
      <w:pPr>
        <w:keepNext w:val="0"/>
        <w:keepLines w:val="0"/>
        <w:pageBreakBefore w:val="0"/>
        <w:widowControl w:val="0"/>
        <w:kinsoku w:val="0"/>
        <w:wordWrap/>
        <w:overflowPunct w:val="0"/>
        <w:topLinePunct w:val="0"/>
        <w:autoSpaceDE/>
        <w:autoSpaceDN/>
        <w:bidi w:val="0"/>
        <w:adjustRightInd/>
        <w:snapToGrid/>
        <w:ind w:firstLine="525" w:firstLineChars="250"/>
        <w:textAlignment w:val="auto"/>
        <w:rPr>
          <w:rFonts w:ascii="宋体" w:hAnsi="宋体" w:cs="宋体"/>
          <w:szCs w:val="21"/>
        </w:rPr>
      </w:pPr>
      <w:r>
        <w:rPr>
          <w:rFonts w:hint="eastAsia" w:ascii="宋体" w:hAnsi="宋体" w:cs="宋体"/>
          <w:szCs w:val="21"/>
        </w:rPr>
        <w:t>发包人提供国外标准、规范的份数：</w:t>
      </w:r>
      <w:r>
        <w:rPr>
          <w:rFonts w:hint="eastAsia" w:ascii="宋体" w:hAnsi="宋体" w:cs="宋体"/>
          <w:b/>
          <w:kern w:val="0"/>
          <w:szCs w:val="21"/>
          <w:u w:val="single"/>
        </w:rPr>
        <w:t>/</w:t>
      </w:r>
      <w:r>
        <w:rPr>
          <w:rFonts w:hint="eastAsia" w:ascii="宋体" w:hAnsi="宋体" w:cs="宋体"/>
          <w:szCs w:val="21"/>
        </w:rPr>
        <w:t>；</w:t>
      </w:r>
    </w:p>
    <w:p>
      <w:pPr>
        <w:keepNext w:val="0"/>
        <w:keepLines w:val="0"/>
        <w:pageBreakBefore w:val="0"/>
        <w:kinsoku/>
        <w:wordWrap/>
        <w:overflowPunct/>
        <w:topLinePunct w:val="0"/>
        <w:autoSpaceDE/>
        <w:autoSpaceDN/>
        <w:bidi w:val="0"/>
        <w:adjustRightInd/>
        <w:snapToGrid/>
        <w:ind w:firstLine="525" w:firstLineChars="250"/>
        <w:textAlignment w:val="auto"/>
        <w:rPr>
          <w:rFonts w:ascii="宋体" w:hAnsi="宋体" w:cs="宋体"/>
          <w:szCs w:val="21"/>
        </w:rPr>
      </w:pPr>
      <w:r>
        <w:rPr>
          <w:rFonts w:hint="eastAsia" w:ascii="宋体" w:hAnsi="宋体" w:cs="宋体"/>
          <w:szCs w:val="21"/>
        </w:rPr>
        <w:t>发包人提供国外标准、规范的名称：/。</w:t>
      </w:r>
    </w:p>
    <w:p>
      <w:pPr>
        <w:keepNext w:val="0"/>
        <w:keepLines w:val="0"/>
        <w:pageBreakBefore w:val="0"/>
        <w:kinsoku/>
        <w:wordWrap/>
        <w:overflowPunct/>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szCs w:val="21"/>
        </w:rPr>
        <w:t>1.4.3发包人对工程的技术标准和功能要求的特殊要求：</w:t>
      </w:r>
      <w:r>
        <w:rPr>
          <w:rFonts w:hint="eastAsia" w:ascii="宋体" w:hAnsi="宋体" w:cs="宋体"/>
          <w:b/>
          <w:kern w:val="0"/>
          <w:szCs w:val="21"/>
          <w:u w:val="single"/>
        </w:rPr>
        <w:t xml:space="preserve">  /   </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1.5 合同文件的优先顺序</w:t>
      </w:r>
    </w:p>
    <w:p>
      <w:pPr>
        <w:ind w:firstLine="420" w:firstLineChars="200"/>
        <w:rPr>
          <w:rFonts w:ascii="宋体" w:hAnsi="宋体" w:cs="宋体"/>
          <w:szCs w:val="21"/>
        </w:rPr>
      </w:pPr>
      <w:r>
        <w:rPr>
          <w:rFonts w:hint="eastAsia" w:ascii="宋体" w:hAnsi="宋体" w:cs="宋体"/>
          <w:szCs w:val="21"/>
        </w:rPr>
        <w:t>合同文件组成及优先顺序为：</w:t>
      </w:r>
      <w:r>
        <w:rPr>
          <w:rFonts w:hint="eastAsia" w:ascii="宋体" w:hAnsi="宋体" w:cs="宋体"/>
          <w:b/>
          <w:kern w:val="0"/>
          <w:szCs w:val="21"/>
          <w:u w:val="single"/>
        </w:rPr>
        <w:t>1、合同协议书；2、专用合同条款、补充协议及其附件；3、通用合同条款；4、本工程招标控制价；5、技术标准和要求；6、图纸；7、本工程招标文件；8、本工程投标文件；9、双方有效签章的往来书面文件；10、其他合同文件及发包人印发的相关管理规定。</w:t>
      </w:r>
    </w:p>
    <w:p>
      <w:pPr>
        <w:ind w:firstLine="420" w:firstLineChars="200"/>
        <w:rPr>
          <w:rFonts w:ascii="宋体" w:hAnsi="宋体" w:cs="宋体"/>
          <w:szCs w:val="21"/>
        </w:rPr>
      </w:pPr>
      <w:r>
        <w:rPr>
          <w:rFonts w:hint="eastAsia" w:ascii="宋体" w:hAnsi="宋体" w:cs="宋体"/>
          <w:szCs w:val="21"/>
        </w:rPr>
        <w:t>1.6 图纸和承包人文件</w:t>
      </w:r>
      <w:r>
        <w:rPr>
          <w:rFonts w:hint="eastAsia" w:ascii="宋体" w:hAnsi="宋体" w:cs="宋体"/>
          <w:szCs w:val="21"/>
        </w:rPr>
        <w:tab/>
      </w:r>
    </w:p>
    <w:p>
      <w:pPr>
        <w:ind w:firstLine="420" w:firstLineChars="200"/>
        <w:rPr>
          <w:rFonts w:ascii="宋体" w:hAnsi="宋体" w:cs="宋体"/>
          <w:szCs w:val="21"/>
        </w:rPr>
      </w:pPr>
      <w:r>
        <w:rPr>
          <w:rFonts w:hint="eastAsia" w:ascii="宋体" w:hAnsi="宋体" w:cs="宋体"/>
          <w:szCs w:val="21"/>
        </w:rPr>
        <w:t>1.6.1 图纸的提供</w:t>
      </w:r>
    </w:p>
    <w:p>
      <w:pPr>
        <w:ind w:firstLine="420" w:firstLineChars="200"/>
        <w:rPr>
          <w:rFonts w:ascii="宋体" w:hAnsi="宋体" w:cs="宋体"/>
          <w:szCs w:val="21"/>
        </w:rPr>
      </w:pPr>
      <w:r>
        <w:rPr>
          <w:rFonts w:hint="eastAsia" w:ascii="宋体" w:hAnsi="宋体" w:cs="宋体"/>
          <w:szCs w:val="21"/>
        </w:rPr>
        <w:t>发包人向承包人提供图纸的期限：</w:t>
      </w:r>
      <w:r>
        <w:rPr>
          <w:rFonts w:hint="eastAsia" w:ascii="宋体" w:hAnsi="宋体" w:cs="宋体"/>
          <w:b/>
          <w:kern w:val="0"/>
          <w:szCs w:val="21"/>
          <w:u w:val="single"/>
        </w:rPr>
        <w:t>合同签订后3天内提供，在不影响施工进度的前提下，发包人可以延迟提供部份单位工程图纸</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发包人向承包人提供图纸的数量：</w:t>
      </w:r>
      <w:r>
        <w:rPr>
          <w:rFonts w:hint="eastAsia" w:ascii="宋体" w:hAnsi="宋体" w:cs="宋体"/>
          <w:b/>
          <w:kern w:val="0"/>
          <w:szCs w:val="21"/>
          <w:u w:val="single"/>
        </w:rPr>
        <w:t>完整的施工图纸2份</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发包人向承包人提供图纸的内容：</w:t>
      </w:r>
      <w:r>
        <w:rPr>
          <w:rFonts w:hint="eastAsia" w:ascii="宋体" w:hAnsi="宋体" w:cs="宋体"/>
          <w:b/>
          <w:kern w:val="0"/>
          <w:szCs w:val="21"/>
          <w:u w:val="single"/>
        </w:rPr>
        <w:t xml:space="preserve">/ </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1.6.4 承包人文件</w:t>
      </w:r>
    </w:p>
    <w:p>
      <w:pPr>
        <w:ind w:firstLine="420" w:firstLineChars="200"/>
        <w:jc w:val="left"/>
        <w:rPr>
          <w:rFonts w:ascii="宋体" w:hAnsi="宋体" w:cs="宋体"/>
          <w:szCs w:val="21"/>
        </w:rPr>
      </w:pPr>
      <w:r>
        <w:rPr>
          <w:rFonts w:hint="eastAsia" w:ascii="宋体" w:hAnsi="宋体" w:cs="宋体"/>
          <w:szCs w:val="21"/>
        </w:rPr>
        <w:t>需要由承包人提供的文件，包括：</w:t>
      </w:r>
      <w:r>
        <w:rPr>
          <w:rFonts w:hint="eastAsia" w:ascii="宋体" w:hAnsi="宋体" w:cs="宋体"/>
          <w:b/>
          <w:kern w:val="0"/>
          <w:szCs w:val="21"/>
          <w:u w:val="single"/>
        </w:rPr>
        <w:t>应当由承包人编制的与工程施工有关的文件</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承包人提供的文件的期限为：</w:t>
      </w:r>
      <w:r>
        <w:rPr>
          <w:rFonts w:hint="eastAsia" w:ascii="宋体" w:hAnsi="宋体" w:cs="宋体"/>
          <w:b/>
          <w:kern w:val="0"/>
          <w:szCs w:val="21"/>
          <w:u w:val="single"/>
        </w:rPr>
        <w:t xml:space="preserve">/ </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承包人提供的文件的数量为：</w:t>
      </w:r>
      <w:r>
        <w:rPr>
          <w:rFonts w:hint="eastAsia" w:ascii="宋体" w:hAnsi="宋体" w:cs="宋体"/>
          <w:b/>
          <w:kern w:val="0"/>
          <w:szCs w:val="21"/>
          <w:u w:val="single"/>
        </w:rPr>
        <w:t>按发包人要求的数量提供</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承包人提供的文件的形式为：</w:t>
      </w:r>
      <w:r>
        <w:rPr>
          <w:rFonts w:hint="eastAsia" w:ascii="宋体" w:hAnsi="宋体" w:cs="宋体"/>
          <w:b/>
          <w:kern w:val="0"/>
          <w:szCs w:val="21"/>
          <w:u w:val="single"/>
        </w:rPr>
        <w:t>书面形式</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发包人审批承包人文件的期限：</w:t>
      </w:r>
      <w:r>
        <w:rPr>
          <w:rFonts w:hint="eastAsia" w:ascii="宋体" w:hAnsi="宋体" w:cs="宋体"/>
          <w:b/>
          <w:kern w:val="0"/>
          <w:szCs w:val="21"/>
          <w:u w:val="single"/>
        </w:rPr>
        <w:t xml:space="preserve">/ </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1.6.5 现场图纸准备</w:t>
      </w:r>
    </w:p>
    <w:p>
      <w:pPr>
        <w:ind w:firstLine="420" w:firstLineChars="200"/>
        <w:rPr>
          <w:rFonts w:ascii="宋体" w:hAnsi="宋体" w:cs="宋体"/>
          <w:szCs w:val="21"/>
        </w:rPr>
      </w:pPr>
      <w:r>
        <w:rPr>
          <w:rFonts w:hint="eastAsia" w:ascii="宋体" w:hAnsi="宋体" w:cs="宋体"/>
          <w:szCs w:val="21"/>
        </w:rPr>
        <w:t>关于现场图纸准备的约定：</w:t>
      </w:r>
      <w:r>
        <w:rPr>
          <w:rFonts w:hint="eastAsia" w:ascii="宋体" w:hAnsi="宋体" w:cs="宋体"/>
          <w:b/>
          <w:kern w:val="0"/>
          <w:szCs w:val="21"/>
          <w:u w:val="single"/>
        </w:rPr>
        <w:t xml:space="preserve">/   </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1.7 联络</w:t>
      </w:r>
    </w:p>
    <w:p>
      <w:pPr>
        <w:ind w:firstLine="420" w:firstLineChars="200"/>
        <w:rPr>
          <w:rFonts w:ascii="宋体" w:hAnsi="宋体" w:cs="宋体"/>
          <w:kern w:val="0"/>
          <w:szCs w:val="21"/>
        </w:rPr>
      </w:pPr>
      <w:r>
        <w:rPr>
          <w:rFonts w:hint="eastAsia" w:ascii="宋体" w:hAnsi="宋体" w:cs="宋体"/>
          <w:kern w:val="0"/>
          <w:szCs w:val="21"/>
        </w:rPr>
        <w:t>1.7.1发包人和承包人应当在</w:t>
      </w:r>
      <w:r>
        <w:rPr>
          <w:rFonts w:hint="eastAsia" w:ascii="宋体" w:hAnsi="宋体" w:cs="宋体"/>
          <w:b/>
          <w:kern w:val="0"/>
          <w:szCs w:val="21"/>
          <w:u w:val="single"/>
        </w:rPr>
        <w:t xml:space="preserve">7  </w:t>
      </w:r>
      <w:r>
        <w:rPr>
          <w:rFonts w:hint="eastAsia" w:ascii="宋体" w:hAnsi="宋体" w:cs="宋体"/>
          <w:kern w:val="0"/>
          <w:szCs w:val="21"/>
        </w:rPr>
        <w:t>天内将与合同有关的通知、批准、证明、证书、指示、指令、要求、请求、同意、意见、确定和决定等书面函件送达对方当事人。</w:t>
      </w:r>
    </w:p>
    <w:p>
      <w:pPr>
        <w:ind w:firstLine="420" w:firstLineChars="200"/>
        <w:rPr>
          <w:rFonts w:ascii="宋体" w:hAnsi="宋体" w:cs="宋体"/>
          <w:kern w:val="0"/>
          <w:szCs w:val="21"/>
        </w:rPr>
      </w:pPr>
      <w:r>
        <w:rPr>
          <w:rFonts w:hint="eastAsia" w:ascii="宋体" w:hAnsi="宋体" w:cs="宋体"/>
          <w:kern w:val="0"/>
          <w:szCs w:val="21"/>
        </w:rPr>
        <w:t>1.7.2 发包人接收文件的地点：；</w:t>
      </w:r>
    </w:p>
    <w:p>
      <w:pPr>
        <w:ind w:firstLine="420" w:firstLineChars="200"/>
        <w:rPr>
          <w:rFonts w:ascii="宋体" w:hAnsi="宋体" w:cs="宋体"/>
          <w:kern w:val="0"/>
          <w:szCs w:val="21"/>
        </w:rPr>
      </w:pPr>
      <w:r>
        <w:rPr>
          <w:rFonts w:hint="eastAsia" w:ascii="宋体" w:hAnsi="宋体" w:cs="宋体"/>
          <w:kern w:val="0"/>
          <w:szCs w:val="21"/>
        </w:rPr>
        <w:t>发包人指定的接收人为：</w:t>
      </w:r>
      <w:r>
        <w:rPr>
          <w:rFonts w:hint="eastAsia" w:ascii="宋体" w:hAnsi="宋体" w:cs="宋体"/>
          <w:szCs w:val="21"/>
          <w:u w:val="single"/>
        </w:rPr>
        <w:t xml:space="preserve">           /                </w:t>
      </w:r>
      <w:r>
        <w:rPr>
          <w:rFonts w:hint="eastAsia" w:ascii="宋体" w:hAnsi="宋体" w:cs="宋体"/>
          <w:kern w:val="0"/>
          <w:szCs w:val="21"/>
        </w:rPr>
        <w:t>。</w:t>
      </w:r>
    </w:p>
    <w:p>
      <w:pPr>
        <w:ind w:firstLine="420" w:firstLineChars="200"/>
        <w:rPr>
          <w:rFonts w:ascii="宋体" w:hAnsi="宋体" w:cs="宋体"/>
          <w:kern w:val="0"/>
          <w:szCs w:val="21"/>
        </w:rPr>
      </w:pPr>
      <w:r>
        <w:rPr>
          <w:rFonts w:hint="eastAsia" w:ascii="宋体" w:hAnsi="宋体" w:cs="宋体"/>
          <w:kern w:val="0"/>
          <w:szCs w:val="21"/>
        </w:rPr>
        <w:t>承包人接收文件的地点：；</w:t>
      </w:r>
    </w:p>
    <w:p>
      <w:pPr>
        <w:ind w:firstLine="420" w:firstLineChars="200"/>
        <w:rPr>
          <w:rFonts w:ascii="宋体" w:hAnsi="宋体" w:cs="宋体"/>
          <w:kern w:val="0"/>
          <w:szCs w:val="21"/>
        </w:rPr>
      </w:pPr>
      <w:r>
        <w:rPr>
          <w:rFonts w:hint="eastAsia" w:ascii="宋体" w:hAnsi="宋体" w:cs="宋体"/>
          <w:kern w:val="0"/>
          <w:szCs w:val="21"/>
        </w:rPr>
        <w:t>承包人指定的接收人为：。</w:t>
      </w:r>
    </w:p>
    <w:p>
      <w:pPr>
        <w:ind w:firstLine="420" w:firstLineChars="200"/>
        <w:rPr>
          <w:rFonts w:ascii="宋体" w:hAnsi="宋体" w:cs="宋体"/>
          <w:kern w:val="0"/>
          <w:szCs w:val="21"/>
        </w:rPr>
      </w:pPr>
      <w:r>
        <w:rPr>
          <w:rFonts w:hint="eastAsia" w:ascii="宋体" w:hAnsi="宋体" w:cs="宋体"/>
          <w:kern w:val="0"/>
          <w:szCs w:val="21"/>
        </w:rPr>
        <w:t>监理人接收文件的地点：</w:t>
      </w:r>
      <w:r>
        <w:rPr>
          <w:rFonts w:hint="eastAsia" w:ascii="宋体" w:hAnsi="宋体" w:cs="宋体"/>
          <w:szCs w:val="21"/>
          <w:u w:val="single"/>
        </w:rPr>
        <w:t xml:space="preserve">           /                </w:t>
      </w:r>
      <w:r>
        <w:rPr>
          <w:rFonts w:hint="eastAsia" w:ascii="宋体" w:hAnsi="宋体" w:cs="宋体"/>
          <w:kern w:val="0"/>
          <w:szCs w:val="21"/>
        </w:rPr>
        <w:t>；</w:t>
      </w:r>
    </w:p>
    <w:p>
      <w:pPr>
        <w:ind w:firstLine="420" w:firstLineChars="200"/>
        <w:rPr>
          <w:rFonts w:ascii="宋体" w:hAnsi="宋体" w:cs="宋体"/>
          <w:kern w:val="0"/>
          <w:szCs w:val="21"/>
        </w:rPr>
      </w:pPr>
      <w:r>
        <w:rPr>
          <w:rFonts w:hint="eastAsia" w:ascii="宋体" w:hAnsi="宋体" w:cs="宋体"/>
          <w:kern w:val="0"/>
          <w:szCs w:val="21"/>
        </w:rPr>
        <w:t>监理人指定的接收人为：</w:t>
      </w:r>
      <w:r>
        <w:rPr>
          <w:rFonts w:hint="eastAsia" w:ascii="宋体" w:hAnsi="宋体" w:cs="宋体"/>
          <w:szCs w:val="21"/>
          <w:u w:val="single"/>
        </w:rPr>
        <w:t xml:space="preserve">           /                </w:t>
      </w:r>
      <w:r>
        <w:rPr>
          <w:rFonts w:hint="eastAsia" w:ascii="宋体" w:hAnsi="宋体" w:cs="宋体"/>
          <w:kern w:val="0"/>
          <w:szCs w:val="21"/>
        </w:rPr>
        <w:t>。</w:t>
      </w:r>
    </w:p>
    <w:p>
      <w:pPr>
        <w:ind w:firstLine="420" w:firstLineChars="200"/>
        <w:rPr>
          <w:rFonts w:ascii="宋体" w:hAnsi="宋体" w:cs="宋体"/>
          <w:szCs w:val="21"/>
        </w:rPr>
      </w:pPr>
      <w:r>
        <w:rPr>
          <w:rFonts w:hint="eastAsia" w:ascii="宋体" w:hAnsi="宋体" w:cs="宋体"/>
          <w:szCs w:val="21"/>
        </w:rPr>
        <w:t>1.10 交通运输</w:t>
      </w:r>
    </w:p>
    <w:p>
      <w:pPr>
        <w:ind w:firstLine="420" w:firstLineChars="200"/>
        <w:rPr>
          <w:rFonts w:ascii="宋体" w:hAnsi="宋体" w:cs="宋体"/>
          <w:szCs w:val="21"/>
        </w:rPr>
      </w:pPr>
      <w:r>
        <w:rPr>
          <w:rFonts w:hint="eastAsia" w:ascii="宋体" w:hAnsi="宋体" w:cs="宋体"/>
          <w:szCs w:val="21"/>
        </w:rPr>
        <w:t>1.10.1 出入现场的权利</w:t>
      </w:r>
    </w:p>
    <w:p>
      <w:pPr>
        <w:ind w:firstLine="420" w:firstLineChars="200"/>
        <w:rPr>
          <w:rFonts w:ascii="宋体" w:hAnsi="宋体" w:cs="宋体"/>
          <w:szCs w:val="21"/>
        </w:rPr>
      </w:pPr>
      <w:r>
        <w:rPr>
          <w:rFonts w:hint="eastAsia" w:ascii="宋体" w:hAnsi="宋体" w:cs="宋体"/>
          <w:szCs w:val="21"/>
        </w:rPr>
        <w:t>关于出入现场的权利的约定：</w:t>
      </w:r>
      <w:r>
        <w:rPr>
          <w:rFonts w:hint="eastAsia" w:ascii="宋体" w:hAnsi="宋体" w:cs="宋体"/>
          <w:b/>
          <w:kern w:val="0"/>
          <w:szCs w:val="21"/>
          <w:u w:val="single"/>
        </w:rPr>
        <w:t>承包人应根据合同工程的施工需要，负责办理取得出入施工场地的专用和临时道路的通行权，以及取得为工程建设所需修建场外设施的权利，需要发包人协调时，发包人应协助承包人办理相关手续。相关费用由承包人在投标报价中综合考虑</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1.10.3 场内交通</w:t>
      </w:r>
    </w:p>
    <w:p>
      <w:pPr>
        <w:ind w:firstLine="420" w:firstLineChars="200"/>
        <w:jc w:val="left"/>
        <w:rPr>
          <w:rFonts w:ascii="宋体" w:hAnsi="宋体" w:cs="宋体"/>
          <w:kern w:val="0"/>
          <w:szCs w:val="21"/>
        </w:rPr>
      </w:pPr>
      <w:r>
        <w:rPr>
          <w:rFonts w:hint="eastAsia" w:ascii="宋体" w:hAnsi="宋体" w:cs="宋体"/>
          <w:kern w:val="0"/>
          <w:szCs w:val="21"/>
        </w:rPr>
        <w:t>关于场外交通和场内交通的边界的约定：</w:t>
      </w:r>
      <w:r>
        <w:rPr>
          <w:rFonts w:hint="eastAsia" w:ascii="宋体" w:hAnsi="宋体" w:cs="宋体"/>
          <w:szCs w:val="21"/>
          <w:u w:val="single"/>
        </w:rPr>
        <w:t xml:space="preserve">     /    </w:t>
      </w:r>
      <w:r>
        <w:rPr>
          <w:rFonts w:hint="eastAsia" w:ascii="宋体" w:hAnsi="宋体" w:cs="宋体"/>
          <w:kern w:val="0"/>
          <w:szCs w:val="21"/>
        </w:rPr>
        <w:t>。</w:t>
      </w:r>
    </w:p>
    <w:p>
      <w:pPr>
        <w:ind w:firstLine="420" w:firstLineChars="200"/>
        <w:jc w:val="left"/>
        <w:rPr>
          <w:rFonts w:ascii="宋体" w:hAnsi="宋体" w:cs="宋体"/>
          <w:szCs w:val="21"/>
        </w:rPr>
      </w:pPr>
      <w:r>
        <w:rPr>
          <w:rFonts w:hint="eastAsia" w:ascii="宋体" w:hAnsi="宋体" w:cs="宋体"/>
          <w:szCs w:val="21"/>
        </w:rPr>
        <w:t>关于发包人向承包人免费提供满足工程施工需要的场内道路和交通设施的约定：</w:t>
      </w:r>
      <w:r>
        <w:rPr>
          <w:rFonts w:hint="eastAsia" w:ascii="宋体" w:hAnsi="宋体" w:cs="宋体"/>
          <w:b/>
          <w:kern w:val="0"/>
          <w:szCs w:val="21"/>
          <w:u w:val="single"/>
        </w:rPr>
        <w:t>无。根据合同工程的施工需要，由承包人负责修建、维修和管理施工场地内所需的临时道路和交通设施，包括维修、养护和管理发包人提供的道路和交通设施，相关费用由承包人在投标报价中综合考虑</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1.10.4超大件和超重件的运输</w:t>
      </w:r>
    </w:p>
    <w:p>
      <w:pPr>
        <w:ind w:firstLine="420" w:firstLineChars="200"/>
        <w:jc w:val="left"/>
        <w:rPr>
          <w:rFonts w:ascii="宋体" w:hAnsi="宋体" w:cs="宋体"/>
          <w:szCs w:val="21"/>
        </w:rPr>
      </w:pPr>
      <w:r>
        <w:rPr>
          <w:rFonts w:hint="eastAsia" w:ascii="宋体" w:hAnsi="宋体" w:cs="宋体"/>
          <w:szCs w:val="21"/>
        </w:rPr>
        <w:t>运输超大件或超重件所需的道路和桥梁临时加固改造费用和其他有关费用由</w:t>
      </w:r>
      <w:r>
        <w:rPr>
          <w:rFonts w:hint="eastAsia" w:ascii="宋体" w:hAnsi="宋体" w:cs="宋体"/>
          <w:b/>
          <w:kern w:val="0"/>
          <w:szCs w:val="21"/>
          <w:u w:val="single"/>
        </w:rPr>
        <w:t>承包人负责向交通管理部门办理申请手续，发包人给予协助，有关费用在投标报价中综合考虑，由承包人</w:t>
      </w:r>
      <w:r>
        <w:rPr>
          <w:rFonts w:hint="eastAsia" w:ascii="宋体" w:hAnsi="宋体" w:cs="宋体"/>
          <w:szCs w:val="21"/>
        </w:rPr>
        <w:t>承担。</w:t>
      </w:r>
    </w:p>
    <w:p>
      <w:pPr>
        <w:ind w:firstLine="420" w:firstLineChars="200"/>
        <w:rPr>
          <w:rFonts w:ascii="宋体" w:hAnsi="宋体" w:cs="宋体"/>
          <w:szCs w:val="21"/>
        </w:rPr>
      </w:pPr>
      <w:r>
        <w:rPr>
          <w:rFonts w:hint="eastAsia" w:ascii="宋体" w:hAnsi="宋体" w:cs="宋体"/>
          <w:szCs w:val="21"/>
        </w:rPr>
        <w:t>1.11 知识产权</w:t>
      </w:r>
    </w:p>
    <w:p>
      <w:pPr>
        <w:ind w:firstLine="420" w:firstLineChars="200"/>
        <w:rPr>
          <w:rFonts w:ascii="宋体" w:hAnsi="宋体" w:cs="宋体"/>
          <w:szCs w:val="21"/>
        </w:rPr>
      </w:pPr>
      <w:r>
        <w:rPr>
          <w:rFonts w:hint="eastAsia" w:ascii="宋体" w:hAnsi="宋体" w:cs="宋体"/>
          <w:szCs w:val="21"/>
        </w:rPr>
        <w:t>1.11.1关于发包人提供给承包人的图纸、发包人为实施工程自行编制或委托编制的技术规范以及反映发包人关于合同要求或其他类似性质的文件的著作权的归属：</w:t>
      </w:r>
      <w:r>
        <w:rPr>
          <w:rFonts w:hint="eastAsia" w:ascii="宋体" w:hAnsi="宋体" w:cs="宋体"/>
          <w:b/>
          <w:kern w:val="0"/>
          <w:szCs w:val="21"/>
          <w:u w:val="single"/>
        </w:rPr>
        <w:t>发包人</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关于发包人提供的上述文件的使用限制的要求：</w:t>
      </w:r>
      <w:r>
        <w:rPr>
          <w:rFonts w:hint="eastAsia" w:ascii="宋体" w:hAnsi="宋体" w:cs="宋体"/>
          <w:b/>
          <w:kern w:val="0"/>
          <w:szCs w:val="21"/>
          <w:u w:val="single"/>
        </w:rPr>
        <w:t xml:space="preserve">/  </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1.11.2 关于承包人为实施工程所编制文件的著作权的归属：</w:t>
      </w:r>
      <w:r>
        <w:rPr>
          <w:rFonts w:hint="eastAsia" w:ascii="宋体" w:hAnsi="宋体" w:cs="宋体"/>
          <w:b/>
          <w:kern w:val="0"/>
          <w:szCs w:val="21"/>
          <w:u w:val="single"/>
        </w:rPr>
        <w:t>除署名权以外的著作权归属发包人</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关于承包人提供的上述文件的使用限制的要求：</w:t>
      </w:r>
      <w:r>
        <w:rPr>
          <w:rFonts w:hint="eastAsia" w:ascii="宋体" w:hAnsi="宋体" w:cs="宋体"/>
          <w:b/>
          <w:kern w:val="0"/>
          <w:szCs w:val="21"/>
          <w:u w:val="single"/>
        </w:rPr>
        <w:t xml:space="preserve">/  </w:t>
      </w:r>
      <w:r>
        <w:rPr>
          <w:rFonts w:hint="eastAsia" w:ascii="宋体" w:hAnsi="宋体" w:cs="宋体"/>
          <w:szCs w:val="21"/>
        </w:rPr>
        <w:t>。</w:t>
      </w:r>
    </w:p>
    <w:p>
      <w:pPr>
        <w:ind w:firstLine="420" w:firstLineChars="200"/>
        <w:rPr>
          <w:rFonts w:ascii="宋体" w:hAnsi="宋体" w:cs="宋体"/>
          <w:kern w:val="0"/>
          <w:szCs w:val="21"/>
        </w:rPr>
      </w:pPr>
      <w:r>
        <w:rPr>
          <w:rFonts w:hint="eastAsia" w:ascii="宋体" w:hAnsi="宋体" w:cs="宋体"/>
          <w:szCs w:val="21"/>
        </w:rPr>
        <w:t>1.11.4 承包人在施工过程中所采用的专利、专有技术、技术秘密的使用费的承担方式：</w:t>
      </w:r>
      <w:r>
        <w:rPr>
          <w:rFonts w:hint="eastAsia" w:ascii="宋体" w:hAnsi="宋体" w:cs="宋体"/>
          <w:b/>
          <w:kern w:val="0"/>
          <w:szCs w:val="21"/>
          <w:u w:val="single"/>
        </w:rPr>
        <w:t>由承包人在投标报价中综合考虑，已含在签约合同价里</w:t>
      </w:r>
      <w:r>
        <w:rPr>
          <w:rFonts w:hint="eastAsia" w:ascii="宋体" w:hAnsi="宋体" w:cs="宋体"/>
          <w:kern w:val="0"/>
          <w:szCs w:val="21"/>
        </w:rPr>
        <w:t>。</w:t>
      </w:r>
    </w:p>
    <w:p>
      <w:pPr>
        <w:ind w:firstLine="420" w:firstLineChars="200"/>
        <w:rPr>
          <w:rFonts w:ascii="宋体" w:hAnsi="宋体" w:cs="宋体"/>
          <w:szCs w:val="21"/>
        </w:rPr>
      </w:pPr>
      <w:r>
        <w:rPr>
          <w:rFonts w:hint="eastAsia" w:ascii="宋体" w:hAnsi="宋体" w:cs="宋体"/>
          <w:szCs w:val="21"/>
        </w:rPr>
        <w:t>1.13工程量清单错误的修正</w:t>
      </w:r>
    </w:p>
    <w:p>
      <w:pPr>
        <w:ind w:firstLine="420" w:firstLineChars="200"/>
        <w:rPr>
          <w:rFonts w:ascii="宋体" w:hAnsi="宋体" w:cs="宋体"/>
          <w:szCs w:val="21"/>
        </w:rPr>
      </w:pPr>
      <w:r>
        <w:rPr>
          <w:rFonts w:hint="eastAsia" w:ascii="宋体" w:hAnsi="宋体" w:cs="宋体"/>
          <w:szCs w:val="21"/>
        </w:rPr>
        <w:t>出现工程量清单错误时，是否调整合同价格：</w:t>
      </w:r>
      <w:r>
        <w:rPr>
          <w:rFonts w:hint="eastAsia" w:ascii="宋体" w:hAnsi="宋体" w:cs="宋体"/>
          <w:b/>
          <w:kern w:val="0"/>
          <w:szCs w:val="21"/>
          <w:u w:val="single"/>
        </w:rPr>
        <w:t>/</w:t>
      </w:r>
      <w:r>
        <w:rPr>
          <w:rFonts w:hint="eastAsia" w:ascii="宋体" w:hAnsi="宋体" w:cs="宋体"/>
          <w:kern w:val="0"/>
          <w:szCs w:val="21"/>
        </w:rPr>
        <w:t>。</w:t>
      </w:r>
    </w:p>
    <w:p>
      <w:pPr>
        <w:ind w:firstLine="420" w:firstLineChars="200"/>
        <w:rPr>
          <w:rFonts w:ascii="宋体" w:hAnsi="宋体" w:cs="宋体"/>
          <w:szCs w:val="21"/>
        </w:rPr>
      </w:pPr>
      <w:r>
        <w:rPr>
          <w:rFonts w:hint="eastAsia" w:ascii="宋体" w:hAnsi="宋体" w:cs="宋体"/>
          <w:szCs w:val="21"/>
        </w:rPr>
        <w:t>允许调整合同价格的工程量偏差范围：</w:t>
      </w:r>
      <w:r>
        <w:rPr>
          <w:rFonts w:hint="eastAsia" w:ascii="宋体" w:hAnsi="宋体" w:cs="宋体"/>
          <w:b/>
          <w:kern w:val="0"/>
          <w:szCs w:val="21"/>
          <w:u w:val="single"/>
        </w:rPr>
        <w:t xml:space="preserve">/ </w:t>
      </w:r>
      <w:r>
        <w:rPr>
          <w:rFonts w:hint="eastAsia" w:ascii="宋体" w:hAnsi="宋体" w:cs="宋体"/>
          <w:kern w:val="0"/>
          <w:szCs w:val="21"/>
        </w:rPr>
        <w:t>。</w:t>
      </w:r>
    </w:p>
    <w:p>
      <w:pPr>
        <w:pStyle w:val="7"/>
        <w:tabs>
          <w:tab w:val="left" w:pos="864"/>
        </w:tabs>
        <w:ind w:hanging="862"/>
        <w:rPr>
          <w:rFonts w:ascii="宋体" w:hAnsi="宋体" w:cs="宋体"/>
          <w:bCs w:val="0"/>
          <w:sz w:val="21"/>
          <w:szCs w:val="21"/>
        </w:rPr>
      </w:pPr>
      <w:r>
        <w:rPr>
          <w:rFonts w:hint="eastAsia" w:ascii="宋体" w:hAnsi="宋体" w:cs="宋体"/>
          <w:bCs w:val="0"/>
          <w:sz w:val="21"/>
          <w:szCs w:val="21"/>
        </w:rPr>
        <w:t>2. 发包人</w:t>
      </w:r>
    </w:p>
    <w:p>
      <w:pPr>
        <w:ind w:firstLine="420" w:firstLineChars="200"/>
        <w:rPr>
          <w:rFonts w:ascii="宋体" w:hAnsi="宋体" w:cs="宋体"/>
          <w:szCs w:val="21"/>
        </w:rPr>
      </w:pPr>
      <w:r>
        <w:rPr>
          <w:rFonts w:hint="eastAsia" w:ascii="宋体" w:hAnsi="宋体" w:cs="宋体"/>
          <w:szCs w:val="21"/>
        </w:rPr>
        <w:t>2.2 发包人代表</w:t>
      </w:r>
    </w:p>
    <w:p>
      <w:pPr>
        <w:ind w:firstLine="420" w:firstLineChars="200"/>
        <w:rPr>
          <w:rFonts w:ascii="宋体" w:hAnsi="宋体" w:cs="宋体"/>
          <w:szCs w:val="21"/>
        </w:rPr>
      </w:pPr>
      <w:r>
        <w:rPr>
          <w:rFonts w:hint="eastAsia" w:ascii="宋体" w:hAnsi="宋体" w:cs="宋体"/>
          <w:szCs w:val="21"/>
        </w:rPr>
        <w:t>发包人代表：；</w:t>
      </w:r>
    </w:p>
    <w:p>
      <w:pPr>
        <w:ind w:firstLine="420" w:firstLineChars="200"/>
        <w:rPr>
          <w:rFonts w:ascii="宋体" w:hAnsi="宋体" w:cs="宋体"/>
          <w:szCs w:val="21"/>
        </w:rPr>
      </w:pPr>
      <w:r>
        <w:rPr>
          <w:rFonts w:hint="eastAsia" w:ascii="宋体" w:hAnsi="宋体" w:cs="宋体"/>
          <w:szCs w:val="21"/>
        </w:rPr>
        <w:t>姓名：；</w:t>
      </w:r>
    </w:p>
    <w:p>
      <w:pPr>
        <w:ind w:firstLine="420" w:firstLineChars="200"/>
        <w:rPr>
          <w:rFonts w:ascii="宋体" w:hAnsi="宋体" w:cs="宋体"/>
          <w:szCs w:val="21"/>
        </w:rPr>
      </w:pPr>
      <w:r>
        <w:rPr>
          <w:rFonts w:hint="eastAsia" w:ascii="宋体" w:hAnsi="宋体" w:cs="宋体"/>
          <w:szCs w:val="21"/>
        </w:rPr>
        <w:t>身份证号：；</w:t>
      </w:r>
    </w:p>
    <w:p>
      <w:pPr>
        <w:ind w:firstLine="420" w:firstLineChars="200"/>
        <w:rPr>
          <w:rFonts w:ascii="宋体" w:hAnsi="宋体" w:cs="宋体"/>
          <w:szCs w:val="21"/>
        </w:rPr>
      </w:pPr>
      <w:r>
        <w:rPr>
          <w:rFonts w:hint="eastAsia" w:ascii="宋体" w:hAnsi="宋体" w:cs="宋体"/>
          <w:szCs w:val="21"/>
        </w:rPr>
        <w:t>职务：；</w:t>
      </w:r>
    </w:p>
    <w:p>
      <w:pPr>
        <w:ind w:firstLine="420" w:firstLineChars="200"/>
        <w:rPr>
          <w:rFonts w:ascii="宋体" w:hAnsi="宋体" w:cs="宋体"/>
          <w:szCs w:val="21"/>
        </w:rPr>
      </w:pPr>
      <w:r>
        <w:rPr>
          <w:rFonts w:hint="eastAsia" w:ascii="宋体" w:hAnsi="宋体" w:cs="宋体"/>
          <w:szCs w:val="21"/>
        </w:rPr>
        <w:t>联系电话：；</w:t>
      </w:r>
    </w:p>
    <w:p>
      <w:pPr>
        <w:ind w:firstLine="420" w:firstLineChars="200"/>
        <w:rPr>
          <w:rFonts w:ascii="宋体" w:hAnsi="宋体" w:cs="宋体"/>
          <w:szCs w:val="21"/>
        </w:rPr>
      </w:pPr>
      <w:r>
        <w:rPr>
          <w:rFonts w:hint="eastAsia" w:ascii="宋体" w:hAnsi="宋体" w:cs="宋体"/>
          <w:szCs w:val="21"/>
        </w:rPr>
        <w:t>电子信箱：；</w:t>
      </w:r>
    </w:p>
    <w:p>
      <w:pPr>
        <w:ind w:firstLine="420" w:firstLineChars="200"/>
        <w:rPr>
          <w:rFonts w:ascii="宋体" w:hAnsi="宋体" w:cs="宋体"/>
          <w:szCs w:val="21"/>
        </w:rPr>
      </w:pPr>
      <w:r>
        <w:rPr>
          <w:rFonts w:hint="eastAsia" w:ascii="宋体" w:hAnsi="宋体" w:cs="宋体"/>
          <w:szCs w:val="21"/>
        </w:rPr>
        <w:t>通信地址：。</w:t>
      </w:r>
    </w:p>
    <w:p>
      <w:pPr>
        <w:ind w:firstLine="420" w:firstLineChars="200"/>
        <w:rPr>
          <w:rFonts w:ascii="宋体" w:hAnsi="宋体" w:cs="宋体"/>
          <w:b/>
          <w:szCs w:val="21"/>
        </w:rPr>
      </w:pPr>
      <w:r>
        <w:rPr>
          <w:rFonts w:hint="eastAsia" w:ascii="宋体" w:hAnsi="宋体" w:cs="宋体"/>
          <w:szCs w:val="21"/>
        </w:rPr>
        <w:t>发包人对发包人代表的授权范围如下：</w:t>
      </w:r>
      <w:r>
        <w:rPr>
          <w:rFonts w:hint="eastAsia" w:ascii="宋体" w:hAnsi="宋体" w:cs="宋体"/>
          <w:b/>
          <w:kern w:val="0"/>
          <w:szCs w:val="21"/>
          <w:u w:val="single"/>
        </w:rPr>
        <w:t>不得自行要求承包人改变施工图纸，工程变更需通过设计单位出具设计变更通知书；所有图纸及设计变更通知均应由发包人代表发出，向承包人及监理单位均发放原件，否则不能作为施工及结算依据</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2.4 施工现场、施工条件和基础资料的提供</w:t>
      </w:r>
    </w:p>
    <w:p>
      <w:pPr>
        <w:ind w:firstLine="420" w:firstLineChars="200"/>
        <w:rPr>
          <w:rFonts w:ascii="宋体" w:hAnsi="宋体" w:cs="宋体"/>
          <w:szCs w:val="21"/>
        </w:rPr>
      </w:pPr>
      <w:r>
        <w:rPr>
          <w:rFonts w:hint="eastAsia" w:ascii="宋体" w:hAnsi="宋体" w:cs="宋体"/>
          <w:szCs w:val="21"/>
        </w:rPr>
        <w:t>2.4.1 提供施工现场</w:t>
      </w:r>
    </w:p>
    <w:p>
      <w:pPr>
        <w:ind w:firstLine="420" w:firstLineChars="200"/>
        <w:jc w:val="left"/>
        <w:rPr>
          <w:rFonts w:ascii="宋体" w:hAnsi="宋体" w:cs="宋体"/>
          <w:szCs w:val="21"/>
        </w:rPr>
      </w:pPr>
      <w:r>
        <w:rPr>
          <w:rFonts w:hint="eastAsia" w:ascii="宋体" w:hAnsi="宋体" w:cs="宋体"/>
          <w:szCs w:val="21"/>
        </w:rPr>
        <w:t>关于发包人移交施工现场的期限要求：</w:t>
      </w:r>
      <w:r>
        <w:rPr>
          <w:rFonts w:hint="eastAsia" w:ascii="宋体" w:hAnsi="宋体" w:cs="宋体"/>
          <w:b/>
          <w:kern w:val="0"/>
          <w:szCs w:val="21"/>
          <w:u w:val="single"/>
        </w:rPr>
        <w:t xml:space="preserve">  /   </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2.4.2 提供施工条件</w:t>
      </w:r>
    </w:p>
    <w:p>
      <w:pPr>
        <w:ind w:firstLine="420" w:firstLineChars="200"/>
        <w:rPr>
          <w:rFonts w:ascii="宋体" w:hAnsi="宋体" w:cs="宋体"/>
          <w:szCs w:val="21"/>
        </w:rPr>
      </w:pPr>
      <w:r>
        <w:rPr>
          <w:rFonts w:hint="eastAsia" w:ascii="宋体" w:hAnsi="宋体" w:cs="宋体"/>
          <w:szCs w:val="21"/>
        </w:rPr>
        <w:t>关于发包人应负责提供施工所需要的条件，包括：</w:t>
      </w:r>
      <w:r>
        <w:rPr>
          <w:rFonts w:hint="eastAsia" w:ascii="宋体" w:hAnsi="宋体" w:cs="宋体"/>
          <w:b/>
          <w:kern w:val="0"/>
          <w:szCs w:val="21"/>
          <w:u w:val="single"/>
        </w:rPr>
        <w:t>施工所需的用水、用电由承包人自行制安，制安费用及水电费均由承包人负责，综合考虑在投标报价中；承包人施工现场的平面布置及临时设施的建设须报发包人认可方可进行布置</w:t>
      </w:r>
      <w:r>
        <w:rPr>
          <w:rFonts w:hint="eastAsia" w:ascii="宋体" w:hAnsi="宋体" w:cs="宋体"/>
          <w:kern w:val="0"/>
          <w:szCs w:val="21"/>
        </w:rPr>
        <w:t>。</w:t>
      </w:r>
    </w:p>
    <w:p>
      <w:pPr>
        <w:ind w:firstLine="420" w:firstLineChars="200"/>
        <w:rPr>
          <w:rFonts w:ascii="宋体" w:hAnsi="宋体" w:cs="宋体"/>
          <w:szCs w:val="21"/>
        </w:rPr>
      </w:pPr>
      <w:r>
        <w:rPr>
          <w:rFonts w:hint="eastAsia" w:ascii="宋体" w:hAnsi="宋体" w:cs="宋体"/>
          <w:szCs w:val="21"/>
        </w:rPr>
        <w:t>2.5 资金来源证明及支付担保</w:t>
      </w:r>
    </w:p>
    <w:p>
      <w:pPr>
        <w:ind w:firstLine="420" w:firstLineChars="200"/>
        <w:rPr>
          <w:rFonts w:ascii="宋体" w:hAnsi="宋体" w:cs="宋体"/>
          <w:szCs w:val="21"/>
        </w:rPr>
      </w:pPr>
      <w:r>
        <w:rPr>
          <w:rFonts w:hint="eastAsia" w:ascii="宋体" w:hAnsi="宋体" w:cs="宋体"/>
          <w:szCs w:val="21"/>
        </w:rPr>
        <w:t>发包人提供资金来源证明的期限要求：</w:t>
      </w:r>
      <w:r>
        <w:rPr>
          <w:rFonts w:hint="eastAsia" w:ascii="宋体" w:hAnsi="宋体" w:cs="宋体"/>
          <w:b/>
          <w:kern w:val="0"/>
          <w:szCs w:val="21"/>
          <w:u w:val="single"/>
        </w:rPr>
        <w:t>无</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发包人是否提供支付担保：</w:t>
      </w:r>
      <w:r>
        <w:rPr>
          <w:rFonts w:hint="eastAsia" w:ascii="宋体" w:hAnsi="宋体" w:cs="宋体"/>
          <w:b/>
          <w:bCs/>
          <w:szCs w:val="21"/>
          <w:u w:val="single"/>
        </w:rPr>
        <w:t>提供</w:t>
      </w:r>
      <w:r>
        <w:rPr>
          <w:rFonts w:hint="eastAsia" w:ascii="宋体" w:hAnsi="宋体" w:cs="宋体"/>
          <w:szCs w:val="21"/>
        </w:rPr>
        <w:t>。</w:t>
      </w:r>
    </w:p>
    <w:p>
      <w:pPr>
        <w:ind w:firstLine="420" w:firstLineChars="200"/>
        <w:rPr>
          <w:rFonts w:ascii="宋体" w:hAnsi="宋体" w:cs="宋体"/>
          <w:szCs w:val="21"/>
          <w:u w:val="single"/>
        </w:rPr>
      </w:pPr>
      <w:r>
        <w:rPr>
          <w:rFonts w:hint="eastAsia" w:ascii="宋体" w:hAnsi="宋体" w:cs="宋体"/>
          <w:szCs w:val="21"/>
        </w:rPr>
        <w:t>发包人提供支付担保的形式：</w:t>
      </w:r>
      <w:r>
        <w:rPr>
          <w:rFonts w:hint="eastAsia" w:ascii="宋体" w:hAnsi="宋体" w:cs="宋体"/>
          <w:b/>
          <w:spacing w:val="-2"/>
          <w:kern w:val="0"/>
          <w:szCs w:val="21"/>
          <w:u w:val="single"/>
        </w:rPr>
        <w:t>银行保函或保证保险</w:t>
      </w:r>
      <w:r>
        <w:rPr>
          <w:rFonts w:hint="eastAsia" w:ascii="宋体" w:hAnsi="宋体" w:cs="宋体"/>
          <w:szCs w:val="21"/>
        </w:rPr>
        <w:t>。</w:t>
      </w:r>
    </w:p>
    <w:p>
      <w:pPr>
        <w:pStyle w:val="7"/>
        <w:tabs>
          <w:tab w:val="left" w:pos="864"/>
        </w:tabs>
        <w:ind w:hanging="862"/>
        <w:rPr>
          <w:rFonts w:ascii="宋体" w:hAnsi="宋体" w:cs="宋体"/>
          <w:bCs w:val="0"/>
          <w:sz w:val="21"/>
          <w:szCs w:val="21"/>
        </w:rPr>
      </w:pPr>
      <w:r>
        <w:rPr>
          <w:rFonts w:hint="eastAsia" w:ascii="宋体" w:hAnsi="宋体" w:cs="宋体"/>
          <w:bCs w:val="0"/>
          <w:sz w:val="21"/>
          <w:szCs w:val="21"/>
        </w:rPr>
        <w:t>3. 承包人</w:t>
      </w:r>
    </w:p>
    <w:p>
      <w:pPr>
        <w:ind w:firstLine="420" w:firstLineChars="200"/>
        <w:rPr>
          <w:rFonts w:ascii="宋体" w:hAnsi="宋体" w:cs="宋体"/>
          <w:szCs w:val="21"/>
        </w:rPr>
      </w:pPr>
      <w:r>
        <w:rPr>
          <w:rFonts w:hint="eastAsia" w:ascii="宋体" w:hAnsi="宋体" w:cs="宋体"/>
          <w:szCs w:val="21"/>
        </w:rPr>
        <w:t>3.1 承包人的一般义务</w:t>
      </w:r>
    </w:p>
    <w:p>
      <w:pPr>
        <w:ind w:firstLine="420" w:firstLineChars="200"/>
        <w:jc w:val="left"/>
        <w:rPr>
          <w:rFonts w:ascii="宋体" w:hAnsi="宋体" w:cs="宋体"/>
          <w:szCs w:val="21"/>
        </w:rPr>
      </w:pPr>
      <w:r>
        <w:rPr>
          <w:rFonts w:hint="eastAsia" w:ascii="宋体" w:hAnsi="宋体" w:cs="宋体"/>
          <w:kern w:val="0"/>
          <w:szCs w:val="21"/>
        </w:rPr>
        <w:t>（9）</w:t>
      </w:r>
      <w:r>
        <w:rPr>
          <w:rFonts w:hint="eastAsia" w:ascii="宋体" w:hAnsi="宋体" w:cs="宋体"/>
          <w:szCs w:val="21"/>
        </w:rPr>
        <w:t>承包人提交的竣工资料的内容：</w:t>
      </w:r>
      <w:r>
        <w:rPr>
          <w:rFonts w:hint="eastAsia" w:ascii="宋体" w:hAnsi="宋体" w:cs="宋体"/>
          <w:b/>
          <w:szCs w:val="21"/>
          <w:u w:val="single"/>
        </w:rPr>
        <w:t>①承包人完成的建设项目档案资料应符合城乡建设部颁发的规范要求②承包人完成的建设项目档案资料应符合茂名市城市管理和综合执法局（茂城管［2017］26号）关于《建设项目电子文件归档和电子档案管理暂行办法》的规定要求；</w:t>
      </w:r>
      <w:r>
        <w:rPr>
          <w:rFonts w:hint="eastAsia" w:ascii="宋体" w:hAnsi="宋体" w:cs="宋体"/>
          <w:b/>
          <w:kern w:val="0"/>
          <w:szCs w:val="21"/>
          <w:u w:val="single"/>
        </w:rPr>
        <w:t>③</w:t>
      </w:r>
      <w:r>
        <w:rPr>
          <w:rFonts w:hint="eastAsia" w:ascii="宋体" w:hAnsi="宋体" w:cs="宋体"/>
          <w:b/>
          <w:szCs w:val="21"/>
          <w:u w:val="single"/>
        </w:rPr>
        <w:t>承包人在报送竣工结算资料的同时需要用高清相机拍摄建筑物和现场的开工前原状照片及施工后现状照片，一般采用正侧两面拍摄方式，或俯视方式进行拍摄，形成数码照片，照片要能反映建筑物的全貌，拍摄好后冲晒为8寸照片后过塑，同时提供照片（JPG格式）电子版文件，照片分辨率大小不得小于1600*1200mm。（注：以上扫描电子版竣工档案和电子版竣工图以及电子版照片可以汇总后刻录在同一张光盘报送）</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承包人需要提交的竣工资料套数：</w:t>
      </w:r>
      <w:r>
        <w:rPr>
          <w:rFonts w:hint="eastAsia" w:ascii="宋体" w:hAnsi="宋体" w:cs="宋体"/>
          <w:b/>
          <w:kern w:val="0"/>
          <w:szCs w:val="21"/>
          <w:u w:val="single"/>
        </w:rPr>
        <w:t>按规范要求</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承包人提交的竣工资料的费用承担：</w:t>
      </w:r>
      <w:r>
        <w:rPr>
          <w:rFonts w:hint="eastAsia" w:ascii="宋体" w:hAnsi="宋体" w:cs="宋体"/>
          <w:b/>
          <w:kern w:val="0"/>
          <w:szCs w:val="21"/>
          <w:u w:val="single"/>
        </w:rPr>
        <w:t>承包人承担</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承包人提交的竣工资料移交时间：</w:t>
      </w:r>
      <w:r>
        <w:rPr>
          <w:rFonts w:hint="eastAsia" w:ascii="宋体" w:hAnsi="宋体" w:cs="宋体"/>
          <w:b/>
          <w:kern w:val="0"/>
          <w:szCs w:val="21"/>
          <w:u w:val="single"/>
        </w:rPr>
        <w:t>本工程竣工验收合格后28日内</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承包人提交的竣工资料形式要求：</w:t>
      </w:r>
      <w:r>
        <w:rPr>
          <w:rFonts w:hint="eastAsia" w:ascii="宋体" w:hAnsi="宋体" w:cs="宋体"/>
          <w:b/>
          <w:kern w:val="0"/>
          <w:szCs w:val="21"/>
          <w:u w:val="single"/>
        </w:rPr>
        <w:t>书面及扫描件形式</w:t>
      </w:r>
      <w:r>
        <w:rPr>
          <w:rFonts w:hint="eastAsia" w:ascii="宋体" w:hAnsi="宋体" w:cs="宋体"/>
          <w:szCs w:val="21"/>
        </w:rPr>
        <w:t>。</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b/>
          <w:kern w:val="0"/>
          <w:szCs w:val="21"/>
          <w:u w:val="single"/>
        </w:rPr>
      </w:pPr>
      <w:r>
        <w:rPr>
          <w:rFonts w:hint="eastAsia" w:ascii="宋体" w:hAnsi="宋体" w:cs="宋体"/>
          <w:kern w:val="0"/>
          <w:szCs w:val="21"/>
        </w:rPr>
        <w:t>（10）承包人应履行的其他义务：</w:t>
      </w:r>
      <w:r>
        <w:rPr>
          <w:rFonts w:hint="eastAsia" w:ascii="宋体" w:hAnsi="宋体" w:cs="宋体"/>
          <w:b/>
          <w:szCs w:val="21"/>
          <w:u w:val="single"/>
        </w:rPr>
        <w:t>①为保护好地下管线，要求承包人在土方开挖前，先进行勘探性探测，确保没有遇到地下任何管线后才允许开挖，否则由此引起的一切损失由承包人负责，挖探坑费用均由承包人负责，综合考虑在投标报价中，不另行计量支付。已明确地下管线，承包人有责任保护其安全，如因施工损坏，由承包人承担相应的责任并负责经济赔偿，承包人应挖探坑查明管线的具体位置并采取保护措施后方可施工，否则由此引起的一切损失由承包人负责；②承包人只能在发包人提供的施工场地范围内进行布置、安排和组织施工。承包人如需占用发包人提供的施工场地范围以外的场地，须自行办理有关手续及支付有关费用。便道措施费已包含在承包人的投标报价中，不另行计量支付；</w:t>
      </w:r>
      <w:r>
        <w:rPr>
          <w:rFonts w:hint="eastAsia" w:ascii="宋体" w:hAnsi="宋体" w:cs="宋体"/>
          <w:b/>
          <w:kern w:val="0"/>
          <w:szCs w:val="21"/>
          <w:u w:val="single"/>
        </w:rPr>
        <w:t>③在</w:t>
      </w:r>
      <w:r>
        <w:rPr>
          <w:rFonts w:hint="eastAsia" w:ascii="宋体" w:hAnsi="宋体" w:cs="宋体"/>
          <w:b/>
          <w:szCs w:val="21"/>
          <w:u w:val="single"/>
        </w:rPr>
        <w:t>施工期内，承包人须给发包人和监理人提供必要的办公生活设施，所需费用由承包人承担，已综合考虑在承包人投标报价中</w:t>
      </w:r>
      <w:r>
        <w:rPr>
          <w:rFonts w:hint="eastAsia" w:ascii="宋体" w:hAnsi="宋体" w:cs="宋体"/>
          <w:b/>
          <w:kern w:val="0"/>
          <w:szCs w:val="21"/>
          <w:u w:val="single"/>
        </w:rPr>
        <w:t>。④承包人要综合考虑所实施的项目不能对周边建筑物、构筑物造成破坏，做好防护措施，做好观测、检测工作并形成工作记录，并购买相应保险，费用综合考虑在承包人投标报价中；若由于施工过程对周边建筑物、构筑物造成破坏，承包人负责房屋评估、修复等恢复正常使用的一切费用。⑤在整个合同期间，承包人须每周向监理工程师提交报告，记录工地上每个工种雇佣工人和使用机械的数目（须持证上岗的特殊工种应提供工人名单）、运到工地的物料数量和送检的情况、整周的天气、在工地的分包单位和检测试验单位的名称以及他们每周的工作内容。每周报告的格式，要在工程开始时前，提交发包人批准。若有监理工程师的工程代表派驻工地时，每周报告要经监理工程师代表审阅和签字。⑥承包人须在每月的第一日，拍摄足够数量具商业水准的5"彩色照片给监理工程师，表示工程进度。照相机的位置由监理工程师指定。在底片前面右下角的地方，显示拍摄的日期和地点。所有底片的所有权归发包人，并在发包人要求时提交，最迟在本合同完成时提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szCs w:val="21"/>
        </w:rPr>
        <w:t>3.2 项目经理</w:t>
      </w:r>
    </w:p>
    <w:p>
      <w:pPr>
        <w:ind w:firstLine="420" w:firstLineChars="200"/>
        <w:rPr>
          <w:rFonts w:ascii="宋体" w:hAnsi="宋体" w:cs="宋体"/>
          <w:szCs w:val="21"/>
        </w:rPr>
      </w:pPr>
      <w:r>
        <w:rPr>
          <w:rFonts w:hint="eastAsia" w:ascii="宋体" w:hAnsi="宋体" w:cs="宋体"/>
          <w:kern w:val="0"/>
          <w:szCs w:val="21"/>
        </w:rPr>
        <w:t xml:space="preserve">3.2.1 </w:t>
      </w:r>
      <w:r>
        <w:rPr>
          <w:rFonts w:hint="eastAsia" w:ascii="宋体" w:hAnsi="宋体" w:cs="宋体"/>
          <w:szCs w:val="21"/>
        </w:rPr>
        <w:t>项目经理：</w:t>
      </w:r>
    </w:p>
    <w:p>
      <w:pPr>
        <w:ind w:firstLine="420" w:firstLineChars="200"/>
        <w:rPr>
          <w:rFonts w:ascii="宋体" w:hAnsi="宋体" w:cs="宋体"/>
          <w:szCs w:val="21"/>
        </w:rPr>
      </w:pPr>
      <w:r>
        <w:rPr>
          <w:rFonts w:hint="eastAsia" w:ascii="宋体" w:hAnsi="宋体" w:cs="宋体"/>
          <w:szCs w:val="21"/>
        </w:rPr>
        <w:t>姓名：；</w:t>
      </w:r>
    </w:p>
    <w:p>
      <w:pPr>
        <w:ind w:firstLine="420" w:firstLineChars="200"/>
        <w:rPr>
          <w:rFonts w:ascii="宋体" w:hAnsi="宋体" w:cs="宋体"/>
          <w:szCs w:val="21"/>
        </w:rPr>
      </w:pPr>
      <w:r>
        <w:rPr>
          <w:rFonts w:hint="eastAsia" w:ascii="宋体" w:hAnsi="宋体" w:cs="宋体"/>
          <w:szCs w:val="21"/>
        </w:rPr>
        <w:t>身份证号：；</w:t>
      </w:r>
    </w:p>
    <w:p>
      <w:pPr>
        <w:ind w:firstLine="420" w:firstLineChars="200"/>
        <w:rPr>
          <w:rFonts w:ascii="宋体" w:hAnsi="宋体" w:cs="宋体"/>
          <w:szCs w:val="21"/>
        </w:rPr>
      </w:pPr>
      <w:r>
        <w:rPr>
          <w:rFonts w:hint="eastAsia" w:ascii="宋体" w:hAnsi="宋体" w:cs="宋体"/>
          <w:szCs w:val="21"/>
        </w:rPr>
        <w:t>建造师执业资格等级：；</w:t>
      </w:r>
    </w:p>
    <w:p>
      <w:pPr>
        <w:ind w:firstLine="420" w:firstLineChars="200"/>
        <w:rPr>
          <w:rFonts w:ascii="宋体" w:hAnsi="宋体" w:cs="宋体"/>
          <w:szCs w:val="21"/>
        </w:rPr>
      </w:pPr>
      <w:r>
        <w:rPr>
          <w:rFonts w:hint="eastAsia" w:ascii="宋体" w:hAnsi="宋体" w:cs="宋体"/>
          <w:szCs w:val="21"/>
        </w:rPr>
        <w:t>建造师注册证书号：；</w:t>
      </w:r>
    </w:p>
    <w:p>
      <w:pPr>
        <w:ind w:firstLine="420" w:firstLineChars="200"/>
        <w:rPr>
          <w:rFonts w:ascii="宋体" w:hAnsi="宋体" w:cs="宋体"/>
          <w:szCs w:val="21"/>
        </w:rPr>
      </w:pPr>
      <w:r>
        <w:rPr>
          <w:rFonts w:hint="eastAsia" w:ascii="宋体" w:hAnsi="宋体" w:cs="宋体"/>
          <w:szCs w:val="21"/>
        </w:rPr>
        <w:t>建造师执业印章号：；</w:t>
      </w:r>
    </w:p>
    <w:p>
      <w:pPr>
        <w:ind w:firstLine="420" w:firstLineChars="200"/>
        <w:rPr>
          <w:rFonts w:ascii="宋体" w:hAnsi="宋体" w:cs="宋体"/>
          <w:szCs w:val="21"/>
        </w:rPr>
      </w:pPr>
      <w:r>
        <w:rPr>
          <w:rFonts w:hint="eastAsia" w:ascii="宋体" w:hAnsi="宋体" w:cs="宋体"/>
          <w:szCs w:val="21"/>
        </w:rPr>
        <w:t>安全生产考核合格证书号：；</w:t>
      </w:r>
    </w:p>
    <w:p>
      <w:pPr>
        <w:ind w:firstLine="420" w:firstLineChars="200"/>
        <w:rPr>
          <w:rFonts w:ascii="宋体" w:hAnsi="宋体" w:cs="宋体"/>
          <w:szCs w:val="21"/>
        </w:rPr>
      </w:pPr>
      <w:r>
        <w:rPr>
          <w:rFonts w:hint="eastAsia" w:ascii="宋体" w:hAnsi="宋体" w:cs="宋体"/>
          <w:szCs w:val="21"/>
        </w:rPr>
        <w:t>联系电话：；</w:t>
      </w:r>
    </w:p>
    <w:p>
      <w:pPr>
        <w:ind w:firstLine="420" w:firstLineChars="200"/>
        <w:rPr>
          <w:rFonts w:ascii="宋体" w:hAnsi="宋体" w:cs="宋体"/>
          <w:szCs w:val="21"/>
        </w:rPr>
      </w:pPr>
      <w:r>
        <w:rPr>
          <w:rFonts w:hint="eastAsia" w:ascii="宋体" w:hAnsi="宋体" w:cs="宋体"/>
          <w:szCs w:val="21"/>
        </w:rPr>
        <w:t>电子信箱：；</w:t>
      </w:r>
    </w:p>
    <w:p>
      <w:pPr>
        <w:ind w:firstLine="420" w:firstLineChars="200"/>
        <w:rPr>
          <w:rFonts w:ascii="宋体" w:hAnsi="宋体" w:cs="宋体"/>
          <w:szCs w:val="21"/>
        </w:rPr>
      </w:pPr>
      <w:r>
        <w:rPr>
          <w:rFonts w:hint="eastAsia" w:ascii="宋体" w:hAnsi="宋体" w:cs="宋体"/>
          <w:szCs w:val="21"/>
        </w:rPr>
        <w:t>通信地址：；</w:t>
      </w:r>
    </w:p>
    <w:p>
      <w:pPr>
        <w:ind w:firstLine="420" w:firstLineChars="200"/>
        <w:rPr>
          <w:rFonts w:ascii="宋体" w:hAnsi="宋体" w:cs="宋体"/>
          <w:szCs w:val="21"/>
        </w:rPr>
      </w:pPr>
      <w:r>
        <w:rPr>
          <w:rFonts w:hint="eastAsia" w:ascii="宋体" w:hAnsi="宋体" w:cs="宋体"/>
          <w:szCs w:val="21"/>
        </w:rPr>
        <w:t>承包人对项目经理的授权范围如下：</w:t>
      </w:r>
      <w:r>
        <w:rPr>
          <w:rFonts w:hint="eastAsia" w:ascii="宋体" w:hAnsi="宋体" w:cs="宋体"/>
          <w:b/>
          <w:kern w:val="0"/>
          <w:szCs w:val="21"/>
          <w:u w:val="single"/>
        </w:rPr>
        <w:t>①负责施工组织计划方案的制定与执行；②负责施工过程的控制，对工程项目质量计划进行监督、检查；③参与项目的图纸会审、答疑和施工现场技术交底工作；④负责施工单位的工程施工组织计划的实施；⑤负责施工过程中工程变更的初审以及工程量的确认签字；⑥负责组织工程竣工初验和工程决算的初审；⑦参加工程关键阶段：基础验槽、基础、主体和竣工验收；⑧对施工现场提供技术服务，及时处理设计变更和技术核定等；⑨配合发包人做好开工后材料进场费、完工验收费等工程款项的结算工作；⑩做好工程完后的总结工作，及时整理工程资料，交本部门资料员备案；⑪进行工程保修和处理用户意见；⑫按工程承包合同的规定，根据项目随时出现的人、财、物等资源变化情况进行指挥调度，对于施工组织设计和网络计划，也有权在保证总目标不变的前提下进行优化和调整，以保证项目经理能对施工现场临时出现的各种变化应付自如</w:t>
      </w:r>
      <w:r>
        <w:rPr>
          <w:rFonts w:hint="eastAsia" w:ascii="宋体" w:hAnsi="宋体" w:cs="宋体"/>
          <w:szCs w:val="21"/>
        </w:rPr>
        <w:t>。</w:t>
      </w:r>
    </w:p>
    <w:p>
      <w:pPr>
        <w:pStyle w:val="43"/>
        <w:ind w:firstLine="420" w:firstLineChars="200"/>
        <w:rPr>
          <w:rFonts w:hint="default" w:cs="宋体"/>
          <w:sz w:val="21"/>
          <w:szCs w:val="21"/>
        </w:rPr>
      </w:pPr>
      <w:r>
        <w:rPr>
          <w:rFonts w:cs="宋体"/>
          <w:sz w:val="21"/>
          <w:szCs w:val="21"/>
        </w:rPr>
        <w:t>关于项目经理每月在施工现场的时间要求：</w:t>
      </w:r>
      <w:r>
        <w:rPr>
          <w:rFonts w:cs="宋体"/>
          <w:b/>
          <w:sz w:val="21"/>
          <w:szCs w:val="21"/>
          <w:u w:val="single"/>
        </w:rPr>
        <w:t>项目经理不能在两个或两个以上项目同时任职，且必须保证每月有 22 天以上驻守现场；项目施工技术负责人、专职安全员必须保证每月有 22 天以上驻守现场，否则按附表《承包人履约评价标准与违约金处罚一览表》和承包人递交的《关于遵守招标文件和履行施工合同的声明》进行违约处置</w:t>
      </w:r>
      <w:r>
        <w:rPr>
          <w:rFonts w:cs="宋体"/>
          <w:sz w:val="21"/>
          <w:szCs w:val="21"/>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kern w:val="0"/>
          <w:szCs w:val="21"/>
        </w:rPr>
        <w:t>承包人未提交劳动合同，以及没有为项目经理缴纳社会保险证明的违约责任：</w:t>
      </w:r>
      <w:r>
        <w:rPr>
          <w:rFonts w:hint="eastAsia" w:ascii="宋体" w:hAnsi="宋体" w:cs="宋体"/>
          <w:b/>
          <w:kern w:val="0"/>
          <w:szCs w:val="21"/>
          <w:u w:val="single"/>
        </w:rPr>
        <w:t>按有关部门规定处罚，承包人向发包人交纳违约金10000元</w:t>
      </w:r>
      <w:r>
        <w:rPr>
          <w:rFonts w:hint="eastAsia" w:ascii="宋体" w:hAnsi="宋体" w:cs="宋体"/>
          <w:szCs w:val="21"/>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szCs w:val="21"/>
          <w:u w:val="single"/>
        </w:rPr>
      </w:pPr>
      <w:r>
        <w:rPr>
          <w:rFonts w:hint="eastAsia" w:ascii="宋体" w:hAnsi="宋体" w:cs="宋体"/>
          <w:kern w:val="0"/>
          <w:szCs w:val="21"/>
        </w:rPr>
        <w:t>项目经理未经批准，擅自离开施工现场的违约责任：</w:t>
      </w:r>
      <w:r>
        <w:rPr>
          <w:rFonts w:hint="eastAsia" w:ascii="宋体" w:hAnsi="宋体" w:cs="宋体"/>
          <w:b/>
          <w:kern w:val="0"/>
          <w:szCs w:val="21"/>
          <w:u w:val="single"/>
        </w:rPr>
        <w:t>按《承包人履约评价标准与违约金处罚一览表》和承包人递交的《关于遵守招标文件和履行施工合同的声明》处罚</w:t>
      </w:r>
      <w:r>
        <w:rPr>
          <w:rFonts w:hint="eastAsia" w:ascii="宋体" w:hAnsi="宋体" w:cs="宋体"/>
          <w:szCs w:val="21"/>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szCs w:val="21"/>
        </w:rPr>
        <w:t>3.2.3 承包人擅自更换项目经理的违约责任：</w:t>
      </w:r>
      <w:r>
        <w:rPr>
          <w:rFonts w:hint="eastAsia" w:ascii="宋体" w:hAnsi="宋体" w:cs="宋体"/>
          <w:b/>
          <w:kern w:val="0"/>
          <w:szCs w:val="21"/>
          <w:u w:val="single"/>
        </w:rPr>
        <w:t>按《承包人履约评价标准与违约金处罚一览表》和承包人递交的《关于遵守招标文件和履行施工合同的声明》处罚</w:t>
      </w:r>
      <w:r>
        <w:rPr>
          <w:rFonts w:hint="eastAsia" w:ascii="宋体" w:hAnsi="宋体" w:cs="宋体"/>
          <w:szCs w:val="21"/>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szCs w:val="21"/>
        </w:rPr>
        <w:t>3.2.4 承包人无正当理由拒绝更换项目经理的违约责任：</w:t>
      </w:r>
      <w:r>
        <w:rPr>
          <w:rFonts w:hint="eastAsia" w:ascii="宋体" w:hAnsi="宋体" w:cs="宋体"/>
          <w:b/>
          <w:kern w:val="0"/>
          <w:szCs w:val="21"/>
          <w:u w:val="single"/>
        </w:rPr>
        <w:t>按《承包人履约评价标准与违约金处罚一览表》和承包人递交的《关于遵守招标文件和履行施工合同的声明》处罚</w:t>
      </w:r>
      <w:r>
        <w:rPr>
          <w:rFonts w:hint="eastAsia" w:ascii="宋体" w:hAnsi="宋体" w:cs="宋体"/>
          <w:szCs w:val="21"/>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szCs w:val="21"/>
        </w:rPr>
        <w:t>3.3 承包人人员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szCs w:val="21"/>
        </w:rPr>
        <w:t>3.3.1 承包人提交项目管理机构及施工现场管理人员安排报告的期限：</w:t>
      </w:r>
      <w:r>
        <w:rPr>
          <w:rFonts w:hint="eastAsia" w:ascii="宋体" w:hAnsi="宋体" w:cs="宋体"/>
          <w:b/>
          <w:szCs w:val="21"/>
          <w:u w:val="single"/>
        </w:rPr>
        <w:t>承包人应在接到开工通知后7天内</w:t>
      </w:r>
      <w:r>
        <w:rPr>
          <w:rFonts w:hint="eastAsia" w:ascii="宋体" w:hAnsi="宋体" w:cs="宋体"/>
          <w:szCs w:val="21"/>
        </w:rPr>
        <w:t>。</w:t>
      </w:r>
    </w:p>
    <w:p>
      <w:pPr>
        <w:pStyle w:val="2"/>
        <w:ind w:firstLine="420" w:firstLineChars="200"/>
        <w:rPr>
          <w:rFonts w:ascii="宋体" w:hAnsi="宋体" w:eastAsia="宋体" w:cs="宋体"/>
          <w:b/>
          <w:u w:val="single"/>
        </w:rPr>
      </w:pPr>
      <w:r>
        <w:rPr>
          <w:rFonts w:hint="eastAsia" w:ascii="宋体" w:hAnsi="宋体" w:eastAsia="宋体" w:cs="宋体"/>
        </w:rPr>
        <w:t>3.3.2 承包人派驻到施工现场的主要施工管理人员的约定：</w:t>
      </w:r>
      <w:r>
        <w:rPr>
          <w:rFonts w:hint="eastAsia" w:ascii="宋体" w:hAnsi="宋体" w:eastAsia="宋体" w:cs="宋体"/>
          <w:b/>
          <w:u w:val="single"/>
        </w:rPr>
        <w:t>承包人安排在施工场地的主要管理人员和技术骨干应与承包人承诺的名单一致，并保持相对稳定。未经发包人和监理人批准，上述人员不应无故不到位或被替换。若确实无法到位或需替换，或发包人和监理人认为已委派的项目经理或主要人员的工作能力和业务水平不称职、行为不端或玩忽职守的，发包人和监理人可要求承包人撤换，撤换人员需经监理人审核并报发包人批准同意后，用同等资质和经历的人员替换，同时须按以下标准向业主提交违约金：项目经理、项目施工技术负责人3 万元/人次，专职安全员 5000元/人次。</w:t>
      </w:r>
    </w:p>
    <w:p>
      <w:pPr>
        <w:ind w:firstLine="420" w:firstLineChars="200"/>
        <w:rPr>
          <w:rFonts w:ascii="宋体" w:hAnsi="宋体" w:cs="宋体"/>
          <w:szCs w:val="21"/>
        </w:rPr>
      </w:pPr>
      <w:r>
        <w:rPr>
          <w:rFonts w:hint="eastAsia" w:ascii="宋体" w:hAnsi="宋体" w:cs="宋体"/>
          <w:szCs w:val="21"/>
        </w:rPr>
        <w:t>3.3.3 承包人无正当理由拒绝撤换主要施工管理人员的违约责任：</w:t>
      </w:r>
      <w:r>
        <w:rPr>
          <w:rFonts w:hint="eastAsia" w:ascii="宋体" w:hAnsi="宋体" w:cs="宋体"/>
          <w:b/>
          <w:kern w:val="0"/>
          <w:szCs w:val="21"/>
          <w:u w:val="single"/>
        </w:rPr>
        <w:t>按《承包人履约评价标准与违约金处罚一览表》和承包人递交的《关于遵守招标文件和履行施工合同的声明》处罚</w:t>
      </w:r>
      <w:r>
        <w:rPr>
          <w:rFonts w:hint="eastAsia" w:ascii="宋体" w:hAnsi="宋体" w:cs="宋体"/>
          <w:szCs w:val="21"/>
        </w:rPr>
        <w:t>。</w:t>
      </w:r>
    </w:p>
    <w:p>
      <w:pPr>
        <w:ind w:firstLine="420" w:firstLineChars="200"/>
        <w:rPr>
          <w:rFonts w:ascii="宋体" w:hAnsi="宋体" w:cs="宋体"/>
          <w:b/>
          <w:bCs/>
          <w:szCs w:val="21"/>
          <w:u w:val="single"/>
        </w:rPr>
      </w:pPr>
      <w:r>
        <w:rPr>
          <w:rFonts w:hint="eastAsia" w:ascii="宋体" w:hAnsi="宋体" w:cs="宋体"/>
          <w:szCs w:val="21"/>
        </w:rPr>
        <w:t>3.3.4 承包人主要施工管理人员离开施工现场的批准要求：</w:t>
      </w:r>
      <w:r>
        <w:rPr>
          <w:rFonts w:hint="eastAsia" w:ascii="宋体" w:hAnsi="宋体" w:cs="宋体"/>
          <w:b/>
          <w:bCs/>
          <w:szCs w:val="21"/>
          <w:u w:val="single"/>
        </w:rPr>
        <w:t>按有关规定。</w:t>
      </w:r>
    </w:p>
    <w:p>
      <w:pPr>
        <w:ind w:firstLine="420" w:firstLineChars="200"/>
        <w:rPr>
          <w:rFonts w:ascii="宋体" w:hAnsi="宋体" w:cs="宋体"/>
          <w:szCs w:val="21"/>
        </w:rPr>
      </w:pPr>
      <w:r>
        <w:rPr>
          <w:rFonts w:hint="eastAsia" w:ascii="宋体" w:hAnsi="宋体" w:cs="宋体"/>
          <w:szCs w:val="21"/>
        </w:rPr>
        <w:t>3.3.5承包人擅自更换主要施工管理人员的违约责任：</w:t>
      </w:r>
      <w:r>
        <w:rPr>
          <w:rFonts w:hint="eastAsia" w:ascii="宋体" w:hAnsi="宋体" w:cs="宋体"/>
          <w:b/>
          <w:kern w:val="0"/>
          <w:szCs w:val="21"/>
          <w:u w:val="single"/>
        </w:rPr>
        <w:t>按《承包人履约评价标准与违约金处罚一览表》和承包人递交的《关于遵守招标文件和履行施工合同的声明》处罚</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承包人主要施工管理人员擅自离开施工现场的违约责任：</w:t>
      </w:r>
      <w:r>
        <w:rPr>
          <w:rFonts w:hint="eastAsia" w:ascii="宋体" w:hAnsi="宋体" w:cs="宋体"/>
          <w:b/>
          <w:kern w:val="0"/>
          <w:szCs w:val="21"/>
          <w:u w:val="single"/>
        </w:rPr>
        <w:t>按《承包人履约评价标准与违约金处罚一览表》和承包人递交的《关于遵守招标文件和履行施工合同的声明》处罚</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3.5 分包</w:t>
      </w:r>
    </w:p>
    <w:p>
      <w:pPr>
        <w:ind w:firstLine="420" w:firstLineChars="200"/>
        <w:rPr>
          <w:rFonts w:ascii="宋体" w:hAnsi="宋体" w:cs="宋体"/>
          <w:szCs w:val="21"/>
        </w:rPr>
      </w:pPr>
      <w:r>
        <w:rPr>
          <w:rFonts w:hint="eastAsia" w:ascii="宋体" w:hAnsi="宋体" w:cs="宋体"/>
          <w:szCs w:val="21"/>
        </w:rPr>
        <w:t>3.5.1 分包的一般约定</w:t>
      </w:r>
    </w:p>
    <w:p>
      <w:pPr>
        <w:ind w:firstLine="480"/>
        <w:rPr>
          <w:rFonts w:ascii="宋体" w:hAnsi="宋体" w:cs="宋体"/>
          <w:szCs w:val="21"/>
        </w:rPr>
      </w:pPr>
      <w:r>
        <w:rPr>
          <w:rFonts w:hint="eastAsia" w:ascii="宋体" w:hAnsi="宋体" w:cs="宋体"/>
          <w:szCs w:val="21"/>
        </w:rPr>
        <w:t>禁止分包的工程包括：</w:t>
      </w:r>
      <w:r>
        <w:rPr>
          <w:rFonts w:hint="eastAsia" w:ascii="宋体" w:hAnsi="宋体" w:cs="宋体"/>
          <w:b/>
          <w:szCs w:val="21"/>
          <w:u w:val="single"/>
        </w:rPr>
        <w:t>本工程不允许分包。</w:t>
      </w:r>
    </w:p>
    <w:p>
      <w:pPr>
        <w:ind w:firstLine="420" w:firstLineChars="200"/>
        <w:jc w:val="left"/>
        <w:rPr>
          <w:rFonts w:ascii="宋体" w:hAnsi="宋体" w:cs="宋体"/>
          <w:szCs w:val="21"/>
          <w:u w:val="single"/>
        </w:rPr>
      </w:pPr>
      <w:r>
        <w:rPr>
          <w:rFonts w:hint="eastAsia" w:ascii="宋体" w:hAnsi="宋体" w:cs="宋体"/>
          <w:szCs w:val="21"/>
        </w:rPr>
        <w:t>主体结构、关键性工作的范围：</w:t>
      </w:r>
      <w:r>
        <w:rPr>
          <w:rFonts w:hint="eastAsia" w:ascii="宋体" w:hAnsi="宋体" w:cs="宋体"/>
          <w:b/>
          <w:kern w:val="0"/>
          <w:szCs w:val="21"/>
          <w:u w:val="single"/>
        </w:rPr>
        <w:t xml:space="preserve">  /   </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3.5.2分包的确定</w:t>
      </w:r>
    </w:p>
    <w:p>
      <w:pPr>
        <w:ind w:firstLine="420" w:firstLineChars="200"/>
        <w:rPr>
          <w:rFonts w:ascii="宋体" w:hAnsi="宋体" w:cs="宋体"/>
          <w:szCs w:val="21"/>
          <w:u w:val="single"/>
        </w:rPr>
      </w:pPr>
      <w:r>
        <w:rPr>
          <w:rFonts w:hint="eastAsia" w:ascii="宋体" w:hAnsi="宋体" w:cs="宋体"/>
          <w:szCs w:val="21"/>
        </w:rPr>
        <w:t>允许分包的专业工程包括：</w:t>
      </w:r>
      <w:r>
        <w:rPr>
          <w:rFonts w:hint="eastAsia" w:ascii="宋体" w:hAnsi="宋体" w:cs="宋体"/>
          <w:b/>
          <w:szCs w:val="21"/>
          <w:u w:val="single"/>
        </w:rPr>
        <w:t>无</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其他关于分包的约定：</w:t>
      </w:r>
      <w:r>
        <w:rPr>
          <w:rFonts w:hint="eastAsia" w:ascii="宋体" w:hAnsi="宋体" w:cs="宋体"/>
          <w:b/>
          <w:bCs/>
          <w:szCs w:val="21"/>
          <w:u w:val="single"/>
        </w:rPr>
        <w:t>承包人不得将本工程转包或违法分包，</w:t>
      </w:r>
      <w:r>
        <w:rPr>
          <w:rFonts w:hint="eastAsia" w:ascii="宋体" w:hAnsi="宋体" w:cs="宋体"/>
          <w:b/>
          <w:kern w:val="0"/>
          <w:szCs w:val="21"/>
          <w:u w:val="single"/>
        </w:rPr>
        <w:t>一经发现存在违法分包、转包、挂靠等现象，发包人有权取消承包人本工程承包资格，追回已付给承包人的工程款，没收全部履约保证金，由此造成的一起后果及损失均由承包人承担，并按《承包人履约评价标准与违约金处罚一览表》和承包人递交的《关于遵守招标文件和履行施工合同的声明》处罚</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3.5.4 分包合同价款</w:t>
      </w:r>
    </w:p>
    <w:p>
      <w:pPr>
        <w:ind w:firstLine="420" w:firstLineChars="200"/>
        <w:rPr>
          <w:rFonts w:ascii="宋体" w:hAnsi="宋体" w:cs="宋体"/>
          <w:szCs w:val="21"/>
        </w:rPr>
      </w:pPr>
      <w:r>
        <w:rPr>
          <w:rFonts w:hint="eastAsia" w:ascii="宋体" w:hAnsi="宋体" w:cs="宋体"/>
          <w:szCs w:val="21"/>
        </w:rPr>
        <w:t>关于分包合同价款支付的约定：</w:t>
      </w:r>
      <w:r>
        <w:rPr>
          <w:rFonts w:hint="eastAsia" w:ascii="宋体" w:hAnsi="宋体" w:cs="宋体"/>
          <w:b/>
          <w:szCs w:val="21"/>
          <w:u w:val="single"/>
        </w:rPr>
        <w:t>无</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3.6 工程照管与成品、半成品保护</w:t>
      </w:r>
    </w:p>
    <w:p>
      <w:pPr>
        <w:ind w:firstLine="420" w:firstLineChars="200"/>
        <w:rPr>
          <w:rFonts w:ascii="宋体" w:hAnsi="宋体" w:cs="宋体"/>
          <w:kern w:val="0"/>
          <w:szCs w:val="21"/>
          <w:u w:val="single"/>
        </w:rPr>
      </w:pPr>
      <w:r>
        <w:rPr>
          <w:rFonts w:hint="eastAsia" w:ascii="宋体" w:hAnsi="宋体" w:cs="宋体"/>
          <w:kern w:val="0"/>
          <w:szCs w:val="21"/>
        </w:rPr>
        <w:t>承包人负责照管工程及工程相关的材料、工程设备的起始时间：</w:t>
      </w:r>
      <w:r>
        <w:rPr>
          <w:rFonts w:hint="eastAsia" w:ascii="宋体" w:hAnsi="宋体" w:cs="宋体"/>
          <w:b/>
          <w:kern w:val="0"/>
          <w:szCs w:val="21"/>
          <w:u w:val="single"/>
        </w:rPr>
        <w:t>承包人进场施工至项目竣工验收、交付使用，其间发生的质量问题或人为破坏的，由承包人负责维护</w:t>
      </w:r>
      <w:r>
        <w:rPr>
          <w:rFonts w:hint="eastAsia" w:ascii="宋体" w:hAnsi="宋体" w:cs="宋体"/>
          <w:kern w:val="0"/>
          <w:szCs w:val="21"/>
        </w:rPr>
        <w:t>。</w:t>
      </w:r>
    </w:p>
    <w:p>
      <w:pPr>
        <w:ind w:firstLine="420" w:firstLineChars="200"/>
        <w:rPr>
          <w:rFonts w:ascii="宋体" w:hAnsi="宋体" w:cs="宋体"/>
          <w:szCs w:val="21"/>
        </w:rPr>
      </w:pPr>
      <w:r>
        <w:rPr>
          <w:rFonts w:hint="eastAsia" w:ascii="宋体" w:hAnsi="宋体" w:cs="宋体"/>
          <w:szCs w:val="21"/>
        </w:rPr>
        <w:t>3.7 履约担保</w:t>
      </w:r>
    </w:p>
    <w:p>
      <w:pPr>
        <w:ind w:firstLine="420" w:firstLineChars="200"/>
        <w:jc w:val="left"/>
        <w:rPr>
          <w:rFonts w:ascii="宋体" w:hAnsi="宋体" w:cs="宋体"/>
          <w:szCs w:val="21"/>
        </w:rPr>
      </w:pPr>
      <w:r>
        <w:rPr>
          <w:rFonts w:hint="eastAsia" w:ascii="宋体" w:hAnsi="宋体" w:cs="宋体"/>
          <w:szCs w:val="21"/>
        </w:rPr>
        <w:t>承包人是否提供履约担保：</w:t>
      </w:r>
      <w:r>
        <w:rPr>
          <w:rFonts w:hint="eastAsia" w:ascii="宋体" w:hAnsi="宋体" w:cs="宋体"/>
          <w:b/>
          <w:kern w:val="0"/>
          <w:szCs w:val="21"/>
          <w:u w:val="single"/>
        </w:rPr>
        <w:t>是</w:t>
      </w:r>
      <w:r>
        <w:rPr>
          <w:rFonts w:hint="eastAsia" w:ascii="宋体" w:hAnsi="宋体" w:cs="宋体"/>
          <w:szCs w:val="21"/>
        </w:rPr>
        <w:t>。</w:t>
      </w:r>
    </w:p>
    <w:p>
      <w:pPr>
        <w:ind w:firstLine="420" w:firstLineChars="200"/>
        <w:jc w:val="left"/>
        <w:rPr>
          <w:rFonts w:ascii="宋体" w:hAnsi="宋体" w:cs="宋体"/>
          <w:b/>
          <w:kern w:val="0"/>
          <w:szCs w:val="21"/>
          <w:u w:val="single"/>
        </w:rPr>
      </w:pPr>
      <w:r>
        <w:rPr>
          <w:rFonts w:hint="eastAsia" w:ascii="宋体" w:hAnsi="宋体" w:cs="宋体"/>
          <w:szCs w:val="21"/>
        </w:rPr>
        <w:t>承包人提供履约担保的形式、金额及期限的：</w:t>
      </w:r>
      <w:r>
        <w:rPr>
          <w:rFonts w:hint="eastAsia" w:ascii="宋体" w:hAnsi="宋体" w:cs="宋体"/>
          <w:b/>
          <w:kern w:val="0"/>
          <w:szCs w:val="21"/>
          <w:u w:val="single"/>
        </w:rPr>
        <w:t>履约担保额为合同价10%，担保形式为：现金或保函或保证保险（保函可为银行保函或担保公司出具的履约担保保函。银行保函须由项目所在地地级市行政管辖范围的商业银行出具；出具履约担保保函证明的担保公司必须具有相关资质，且注册地须项目所在地。承包人必须保证提供的履约银行保函的真实有效，如有虚假承担全部经济和法律责任）；</w:t>
      </w:r>
    </w:p>
    <w:p>
      <w:pPr>
        <w:ind w:firstLine="422" w:firstLineChars="200"/>
        <w:jc w:val="left"/>
        <w:rPr>
          <w:rFonts w:ascii="宋体" w:hAnsi="宋体" w:cs="宋体"/>
          <w:b/>
          <w:kern w:val="0"/>
          <w:szCs w:val="21"/>
          <w:u w:val="single"/>
        </w:rPr>
      </w:pPr>
      <w:r>
        <w:rPr>
          <w:rFonts w:hint="eastAsia" w:ascii="宋体" w:hAnsi="宋体" w:cs="宋体"/>
          <w:b/>
          <w:kern w:val="0"/>
          <w:szCs w:val="21"/>
          <w:u w:val="single"/>
        </w:rPr>
        <w:t>承包人在签订合同前提交。承包人在履行本工程施工合同中没有违约，发包人在工程竣工验收合格且工程档案备案合格后，将此履约担保无息退还给承包人。因工程延期，承包人无条件续保，发包人不承担由此产生的费用。如承包人在合同履行期内保函到期而不续保的，视为无履约担保，发包人有权解除合同。</w:t>
      </w:r>
    </w:p>
    <w:p>
      <w:pPr>
        <w:pStyle w:val="7"/>
        <w:tabs>
          <w:tab w:val="left" w:pos="864"/>
        </w:tabs>
        <w:ind w:hanging="862"/>
        <w:rPr>
          <w:rFonts w:ascii="宋体" w:hAnsi="宋体" w:cs="宋体"/>
          <w:sz w:val="21"/>
          <w:szCs w:val="21"/>
        </w:rPr>
      </w:pPr>
      <w:r>
        <w:rPr>
          <w:rFonts w:hint="eastAsia" w:ascii="宋体" w:hAnsi="宋体" w:cs="宋体"/>
          <w:bCs w:val="0"/>
          <w:sz w:val="21"/>
          <w:szCs w:val="21"/>
        </w:rPr>
        <w:t>4. 监理人</w:t>
      </w:r>
    </w:p>
    <w:p>
      <w:pPr>
        <w:ind w:firstLine="420" w:firstLineChars="200"/>
        <w:rPr>
          <w:rFonts w:ascii="宋体" w:hAnsi="宋体" w:cs="宋体"/>
          <w:szCs w:val="21"/>
        </w:rPr>
      </w:pPr>
      <w:r>
        <w:rPr>
          <w:rFonts w:hint="eastAsia" w:ascii="宋体" w:hAnsi="宋体" w:cs="宋体"/>
          <w:szCs w:val="21"/>
        </w:rPr>
        <w:t>4.1监理人的一般规定</w:t>
      </w:r>
    </w:p>
    <w:p>
      <w:pPr>
        <w:ind w:firstLine="420" w:firstLineChars="200"/>
        <w:jc w:val="left"/>
        <w:rPr>
          <w:rFonts w:ascii="宋体" w:hAnsi="宋体" w:cs="宋体"/>
          <w:szCs w:val="21"/>
        </w:rPr>
      </w:pPr>
      <w:r>
        <w:rPr>
          <w:rFonts w:hint="eastAsia" w:ascii="宋体" w:hAnsi="宋体" w:cs="宋体"/>
          <w:szCs w:val="21"/>
        </w:rPr>
        <w:t>关于监理人的监理内容：</w:t>
      </w:r>
      <w:r>
        <w:rPr>
          <w:rFonts w:hint="eastAsia" w:ascii="宋体" w:hAnsi="宋体" w:cs="宋体"/>
          <w:b/>
          <w:kern w:val="0"/>
          <w:szCs w:val="21"/>
          <w:u w:val="single"/>
        </w:rPr>
        <w:t>见监理合同</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关于监理人的监理权限：</w:t>
      </w:r>
      <w:r>
        <w:rPr>
          <w:rFonts w:hint="eastAsia" w:ascii="宋体" w:hAnsi="宋体" w:cs="宋体"/>
          <w:b/>
          <w:kern w:val="0"/>
          <w:szCs w:val="21"/>
          <w:u w:val="single"/>
        </w:rPr>
        <w:t>见监理合同。</w:t>
      </w:r>
    </w:p>
    <w:p>
      <w:pPr>
        <w:ind w:firstLine="420" w:firstLineChars="200"/>
        <w:rPr>
          <w:rFonts w:ascii="宋体" w:hAnsi="宋体" w:cs="宋体"/>
          <w:szCs w:val="21"/>
        </w:rPr>
      </w:pPr>
      <w:r>
        <w:rPr>
          <w:rFonts w:hint="eastAsia" w:ascii="宋体" w:hAnsi="宋体" w:cs="宋体"/>
          <w:szCs w:val="21"/>
        </w:rPr>
        <w:t>关于监理人在施工现场的办公场所、生活场所的提供和费用承担的约定：</w:t>
      </w:r>
      <w:r>
        <w:rPr>
          <w:rFonts w:hint="eastAsia" w:ascii="宋体" w:hAnsi="宋体" w:cs="宋体"/>
          <w:b/>
          <w:kern w:val="0"/>
          <w:szCs w:val="21"/>
          <w:u w:val="single"/>
        </w:rPr>
        <w:t>施工期内，承包人给监理人提供必要的办公生活设施，所需费用由承包人承担，在投标报价的临时设施费中考虑</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4.2 监理人员</w:t>
      </w:r>
    </w:p>
    <w:p>
      <w:pPr>
        <w:ind w:firstLine="420" w:firstLineChars="200"/>
        <w:rPr>
          <w:rFonts w:ascii="宋体" w:hAnsi="宋体" w:cs="宋体"/>
          <w:szCs w:val="21"/>
        </w:rPr>
      </w:pPr>
      <w:r>
        <w:rPr>
          <w:rFonts w:hint="eastAsia" w:ascii="宋体" w:hAnsi="宋体" w:cs="宋体"/>
          <w:szCs w:val="21"/>
        </w:rPr>
        <w:t>总监理工程师：；</w:t>
      </w:r>
    </w:p>
    <w:p>
      <w:pPr>
        <w:ind w:firstLine="420" w:firstLineChars="200"/>
        <w:rPr>
          <w:rFonts w:ascii="宋体" w:hAnsi="宋体" w:cs="宋体"/>
          <w:szCs w:val="21"/>
        </w:rPr>
      </w:pPr>
      <w:r>
        <w:rPr>
          <w:rFonts w:hint="eastAsia" w:ascii="宋体" w:hAnsi="宋体" w:cs="宋体"/>
          <w:szCs w:val="21"/>
        </w:rPr>
        <w:t>姓名：；</w:t>
      </w:r>
    </w:p>
    <w:p>
      <w:pPr>
        <w:ind w:firstLine="420" w:firstLineChars="200"/>
        <w:rPr>
          <w:rFonts w:ascii="宋体" w:hAnsi="宋体" w:cs="宋体"/>
          <w:szCs w:val="21"/>
        </w:rPr>
      </w:pPr>
      <w:r>
        <w:rPr>
          <w:rFonts w:hint="eastAsia" w:ascii="宋体" w:hAnsi="宋体" w:cs="宋体"/>
          <w:szCs w:val="21"/>
        </w:rPr>
        <w:t>职务：；</w:t>
      </w:r>
    </w:p>
    <w:p>
      <w:pPr>
        <w:ind w:firstLine="420" w:firstLineChars="200"/>
        <w:rPr>
          <w:rFonts w:ascii="宋体" w:hAnsi="宋体" w:cs="宋体"/>
          <w:szCs w:val="21"/>
        </w:rPr>
      </w:pPr>
      <w:r>
        <w:rPr>
          <w:rFonts w:hint="eastAsia" w:ascii="宋体" w:hAnsi="宋体" w:cs="宋体"/>
          <w:szCs w:val="21"/>
        </w:rPr>
        <w:t>监理工程师执业资格证书号：；</w:t>
      </w:r>
    </w:p>
    <w:p>
      <w:pPr>
        <w:ind w:firstLine="420" w:firstLineChars="200"/>
        <w:rPr>
          <w:rFonts w:ascii="宋体" w:hAnsi="宋体" w:cs="宋体"/>
          <w:szCs w:val="21"/>
        </w:rPr>
      </w:pPr>
      <w:r>
        <w:rPr>
          <w:rFonts w:hint="eastAsia" w:ascii="宋体" w:hAnsi="宋体" w:cs="宋体"/>
          <w:szCs w:val="21"/>
        </w:rPr>
        <w:t>联系电话：；</w:t>
      </w:r>
    </w:p>
    <w:p>
      <w:pPr>
        <w:ind w:firstLine="420" w:firstLineChars="200"/>
        <w:rPr>
          <w:rFonts w:ascii="宋体" w:hAnsi="宋体" w:cs="宋体"/>
          <w:szCs w:val="21"/>
        </w:rPr>
      </w:pPr>
      <w:r>
        <w:rPr>
          <w:rFonts w:hint="eastAsia" w:ascii="宋体" w:hAnsi="宋体" w:cs="宋体"/>
          <w:szCs w:val="21"/>
        </w:rPr>
        <w:t>电子信箱：；</w:t>
      </w:r>
    </w:p>
    <w:p>
      <w:pPr>
        <w:ind w:firstLine="420" w:firstLineChars="200"/>
        <w:rPr>
          <w:rFonts w:ascii="宋体" w:hAnsi="宋体" w:cs="宋体"/>
          <w:szCs w:val="21"/>
        </w:rPr>
      </w:pPr>
      <w:r>
        <w:rPr>
          <w:rFonts w:hint="eastAsia" w:ascii="宋体" w:hAnsi="宋体" w:cs="宋体"/>
          <w:szCs w:val="21"/>
        </w:rPr>
        <w:t>通信地址：；</w:t>
      </w:r>
    </w:p>
    <w:p>
      <w:pPr>
        <w:ind w:firstLine="420" w:firstLineChars="200"/>
        <w:rPr>
          <w:rFonts w:ascii="宋体" w:hAnsi="宋体" w:cs="宋体"/>
          <w:szCs w:val="21"/>
        </w:rPr>
      </w:pPr>
      <w:r>
        <w:rPr>
          <w:rFonts w:hint="eastAsia" w:ascii="宋体" w:hAnsi="宋体" w:cs="宋体"/>
          <w:szCs w:val="21"/>
        </w:rPr>
        <w:t>关于监理人的其他约定：</w:t>
      </w:r>
      <w:r>
        <w:rPr>
          <w:rFonts w:hint="eastAsia" w:ascii="宋体" w:hAnsi="宋体" w:cs="宋体"/>
          <w:b/>
          <w:kern w:val="0"/>
          <w:szCs w:val="21"/>
          <w:u w:val="single"/>
        </w:rPr>
        <w:t>所有设计变更、图纸会审纪录等涉及工程内容及工程量的变化可能导致合同价款调整的，必须先经发包人同意，并在该事实发生后三个工作日内经发包人、设计单位、监理工程师共同签字确认，才可作为合同价款调整依据，否则，结算时不予认可</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4.4 商定或确定</w:t>
      </w:r>
    </w:p>
    <w:p>
      <w:pPr>
        <w:ind w:firstLine="420" w:firstLineChars="200"/>
        <w:rPr>
          <w:rFonts w:ascii="宋体" w:hAnsi="宋体" w:cs="宋体"/>
          <w:szCs w:val="21"/>
        </w:rPr>
      </w:pPr>
      <w:r>
        <w:rPr>
          <w:rFonts w:hint="eastAsia" w:ascii="宋体" w:hAnsi="宋体" w:cs="宋体"/>
          <w:szCs w:val="21"/>
        </w:rPr>
        <w:t>在发包人和承包人不能通过协商达成一致意见时，发包人授权监理人对以下事项进行确定：</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w:t>
      </w:r>
      <w:r>
        <w:rPr>
          <w:rFonts w:hint="eastAsia" w:ascii="宋体" w:hAnsi="宋体" w:cs="宋体"/>
          <w:kern w:val="0"/>
          <w:szCs w:val="21"/>
          <w:u w:val="single"/>
        </w:rPr>
        <w:t>/</w:t>
      </w:r>
      <w:r>
        <w:rPr>
          <w:rFonts w:hint="eastAsia" w:ascii="宋体" w:hAnsi="宋体" w:cs="宋体"/>
          <w:szCs w:val="21"/>
        </w:rPr>
        <w:t>；</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w:t>
      </w:r>
      <w:r>
        <w:rPr>
          <w:rFonts w:hint="eastAsia" w:ascii="宋体" w:hAnsi="宋体" w:cs="宋体"/>
          <w:kern w:val="0"/>
          <w:szCs w:val="21"/>
          <w:u w:val="single"/>
        </w:rPr>
        <w:t>/</w:t>
      </w:r>
      <w:r>
        <w:rPr>
          <w:rFonts w:hint="eastAsia" w:ascii="宋体" w:hAnsi="宋体" w:cs="宋体"/>
          <w:szCs w:val="21"/>
        </w:rPr>
        <w:t>；</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w:t>
      </w:r>
      <w:r>
        <w:rPr>
          <w:rFonts w:hint="eastAsia" w:ascii="宋体" w:hAnsi="宋体" w:cs="宋体"/>
          <w:kern w:val="0"/>
          <w:szCs w:val="21"/>
          <w:u w:val="single"/>
        </w:rPr>
        <w:t>/</w:t>
      </w:r>
      <w:r>
        <w:rPr>
          <w:rFonts w:hint="eastAsia" w:ascii="宋体" w:hAnsi="宋体" w:cs="宋体"/>
          <w:szCs w:val="21"/>
        </w:rPr>
        <w:t>。</w:t>
      </w:r>
    </w:p>
    <w:p>
      <w:pPr>
        <w:pStyle w:val="7"/>
        <w:tabs>
          <w:tab w:val="left" w:pos="864"/>
        </w:tabs>
        <w:ind w:hanging="862"/>
        <w:rPr>
          <w:rFonts w:ascii="宋体" w:hAnsi="宋体" w:cs="宋体"/>
          <w:bCs w:val="0"/>
          <w:sz w:val="21"/>
          <w:szCs w:val="21"/>
        </w:rPr>
      </w:pPr>
      <w:r>
        <w:rPr>
          <w:rFonts w:hint="eastAsia" w:ascii="宋体" w:hAnsi="宋体" w:cs="宋体"/>
          <w:bCs w:val="0"/>
          <w:sz w:val="21"/>
          <w:szCs w:val="21"/>
        </w:rPr>
        <w:t>5. 工程质量</w:t>
      </w:r>
    </w:p>
    <w:p>
      <w:pPr>
        <w:ind w:firstLine="420" w:firstLineChars="200"/>
        <w:rPr>
          <w:rFonts w:ascii="宋体" w:hAnsi="宋体" w:cs="宋体"/>
          <w:szCs w:val="21"/>
        </w:rPr>
      </w:pPr>
      <w:r>
        <w:rPr>
          <w:rFonts w:hint="eastAsia" w:ascii="宋体" w:hAnsi="宋体" w:cs="宋体"/>
          <w:szCs w:val="21"/>
        </w:rPr>
        <w:t>5.1 质量要求</w:t>
      </w:r>
    </w:p>
    <w:p>
      <w:pPr>
        <w:ind w:firstLine="420" w:firstLineChars="200"/>
        <w:jc w:val="left"/>
        <w:rPr>
          <w:rFonts w:ascii="宋体" w:hAnsi="宋体" w:cs="宋体"/>
          <w:szCs w:val="21"/>
        </w:rPr>
      </w:pPr>
      <w:r>
        <w:rPr>
          <w:rFonts w:hint="eastAsia" w:ascii="宋体" w:hAnsi="宋体" w:cs="宋体"/>
          <w:szCs w:val="21"/>
        </w:rPr>
        <w:t>特殊质量标准和要求：</w:t>
      </w:r>
      <w:r>
        <w:rPr>
          <w:rFonts w:hint="eastAsia" w:ascii="宋体" w:hAnsi="宋体" w:cs="宋体"/>
          <w:b/>
          <w:kern w:val="0"/>
          <w:szCs w:val="21"/>
          <w:u w:val="single"/>
        </w:rPr>
        <w:t>无</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关于工程奖项的约定：</w:t>
      </w:r>
      <w:r>
        <w:rPr>
          <w:rFonts w:hint="eastAsia" w:ascii="宋体" w:hAnsi="宋体" w:cs="宋体"/>
          <w:b/>
          <w:kern w:val="0"/>
          <w:szCs w:val="21"/>
          <w:u w:val="single"/>
        </w:rPr>
        <w:t>无</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5.3 隐蔽工程检查</w:t>
      </w:r>
    </w:p>
    <w:p>
      <w:pPr>
        <w:ind w:firstLine="420" w:firstLineChars="200"/>
        <w:jc w:val="left"/>
        <w:rPr>
          <w:rFonts w:ascii="宋体" w:hAnsi="宋体" w:cs="宋体"/>
          <w:szCs w:val="21"/>
        </w:rPr>
      </w:pPr>
      <w:r>
        <w:rPr>
          <w:rFonts w:hint="eastAsia" w:ascii="宋体" w:hAnsi="宋体" w:cs="宋体"/>
          <w:szCs w:val="21"/>
        </w:rPr>
        <w:t>5.3.2承包人提前通知监理人隐蔽工程检查的期限的约定：</w:t>
      </w:r>
      <w:r>
        <w:rPr>
          <w:rFonts w:hint="eastAsia" w:ascii="宋体" w:hAnsi="宋体" w:cs="宋体"/>
          <w:b/>
          <w:kern w:val="0"/>
          <w:szCs w:val="21"/>
          <w:u w:val="single"/>
        </w:rPr>
        <w:t>承包人应在共同检查前48小时书面通知监理人检查。未经验收的隐蔽工程，发包人及监理方有权要求承包人进行返工检查，检查合格方可进入下一工序；检查不合格的，全段进行返工处理，由此产生的费用由承包人负责，工期不予以顺延</w:t>
      </w:r>
      <w:r>
        <w:rPr>
          <w:rFonts w:hint="eastAsia" w:ascii="宋体" w:hAnsi="宋体" w:cs="宋体"/>
          <w:b/>
          <w:szCs w:val="21"/>
        </w:rPr>
        <w:t>。</w:t>
      </w:r>
    </w:p>
    <w:p>
      <w:pPr>
        <w:ind w:firstLine="420" w:firstLineChars="200"/>
        <w:jc w:val="left"/>
        <w:rPr>
          <w:rFonts w:ascii="宋体" w:hAnsi="宋体" w:cs="宋体"/>
          <w:szCs w:val="21"/>
        </w:rPr>
      </w:pPr>
      <w:r>
        <w:rPr>
          <w:rFonts w:hint="eastAsia" w:ascii="宋体" w:hAnsi="宋体" w:cs="宋体"/>
          <w:szCs w:val="21"/>
        </w:rPr>
        <w:t>监理人不能按时进行检查时，应提前</w:t>
      </w:r>
      <w:r>
        <w:rPr>
          <w:rFonts w:hint="eastAsia" w:ascii="宋体" w:hAnsi="宋体" w:cs="宋体"/>
          <w:b/>
          <w:kern w:val="0"/>
          <w:szCs w:val="21"/>
          <w:u w:val="single"/>
        </w:rPr>
        <w:t>24</w:t>
      </w:r>
      <w:r>
        <w:rPr>
          <w:rFonts w:hint="eastAsia" w:ascii="宋体" w:hAnsi="宋体" w:cs="宋体"/>
          <w:szCs w:val="21"/>
        </w:rPr>
        <w:t>小时提交书面延期要求。</w:t>
      </w:r>
    </w:p>
    <w:p>
      <w:pPr>
        <w:ind w:firstLine="420" w:firstLineChars="200"/>
        <w:jc w:val="left"/>
        <w:rPr>
          <w:rFonts w:ascii="宋体" w:hAnsi="宋体" w:cs="宋体"/>
          <w:szCs w:val="21"/>
        </w:rPr>
      </w:pPr>
      <w:r>
        <w:rPr>
          <w:rFonts w:hint="eastAsia" w:ascii="宋体" w:hAnsi="宋体" w:cs="宋体"/>
          <w:szCs w:val="21"/>
        </w:rPr>
        <w:t>关于延期最长不得超过：</w:t>
      </w:r>
      <w:r>
        <w:rPr>
          <w:rFonts w:hint="eastAsia" w:ascii="宋体" w:hAnsi="宋体" w:cs="宋体"/>
          <w:b/>
          <w:kern w:val="0"/>
          <w:szCs w:val="21"/>
          <w:u w:val="single"/>
        </w:rPr>
        <w:t xml:space="preserve">48 </w:t>
      </w:r>
      <w:r>
        <w:rPr>
          <w:rFonts w:hint="eastAsia" w:ascii="宋体" w:hAnsi="宋体" w:cs="宋体"/>
          <w:szCs w:val="21"/>
        </w:rPr>
        <w:t>小时。</w:t>
      </w:r>
    </w:p>
    <w:p>
      <w:pPr>
        <w:pStyle w:val="7"/>
        <w:tabs>
          <w:tab w:val="left" w:pos="864"/>
        </w:tabs>
        <w:ind w:hanging="862"/>
        <w:rPr>
          <w:rFonts w:ascii="宋体" w:hAnsi="宋体" w:cs="宋体"/>
          <w:bCs w:val="0"/>
          <w:sz w:val="21"/>
          <w:szCs w:val="21"/>
        </w:rPr>
      </w:pPr>
      <w:r>
        <w:rPr>
          <w:rFonts w:hint="eastAsia" w:ascii="宋体" w:hAnsi="宋体" w:cs="宋体"/>
          <w:bCs w:val="0"/>
          <w:sz w:val="21"/>
          <w:szCs w:val="21"/>
        </w:rPr>
        <w:t>6. 安全文明施工与环境保护</w:t>
      </w:r>
    </w:p>
    <w:p>
      <w:pPr>
        <w:ind w:firstLine="420" w:firstLineChars="200"/>
        <w:rPr>
          <w:rFonts w:ascii="宋体" w:hAnsi="宋体" w:cs="宋体"/>
          <w:szCs w:val="21"/>
        </w:rPr>
      </w:pPr>
      <w:r>
        <w:rPr>
          <w:rFonts w:hint="eastAsia" w:ascii="宋体" w:hAnsi="宋体" w:cs="宋体"/>
          <w:szCs w:val="21"/>
        </w:rPr>
        <w:t>6.1安全文明施工</w:t>
      </w:r>
    </w:p>
    <w:p>
      <w:pPr>
        <w:ind w:firstLine="420" w:firstLineChars="200"/>
        <w:jc w:val="left"/>
        <w:rPr>
          <w:rFonts w:ascii="宋体" w:hAnsi="宋体" w:cs="宋体"/>
          <w:szCs w:val="21"/>
        </w:rPr>
      </w:pPr>
      <w:r>
        <w:rPr>
          <w:rFonts w:hint="eastAsia" w:ascii="宋体" w:hAnsi="宋体" w:cs="宋体"/>
          <w:szCs w:val="21"/>
        </w:rPr>
        <w:t>6.1.1 项目安全生产的达标目标及相应事项的约定：</w:t>
      </w:r>
      <w:r>
        <w:rPr>
          <w:rFonts w:hint="eastAsia" w:ascii="宋体" w:hAnsi="宋体" w:cs="宋体"/>
          <w:b/>
          <w:bCs/>
          <w:szCs w:val="21"/>
          <w:u w:val="single"/>
        </w:rPr>
        <w:t>1、</w:t>
      </w:r>
      <w:r>
        <w:rPr>
          <w:rFonts w:hint="eastAsia" w:ascii="宋体" w:hAnsi="宋体" w:cs="宋体"/>
          <w:b/>
          <w:kern w:val="0"/>
          <w:szCs w:val="21"/>
          <w:u w:val="single"/>
        </w:rPr>
        <w:t>按通用条款及国家现行规定执行。承包人违反《茂名市建设工程安全生产、文明施工措施费计算和管理办法》茂建字【2004】107号规定的内容（如有最新文件按最新文件执行），依照国务院《建设工程安全生产管理条例》相关规定处理。2、详细参照建设工程施工合同21.15《关于安全文明施工相关要求》</w:t>
      </w:r>
      <w:r>
        <w:rPr>
          <w:rFonts w:hint="eastAsia" w:ascii="宋体" w:hAnsi="宋体" w:cs="宋体"/>
          <w:b/>
          <w:szCs w:val="21"/>
          <w:u w:val="single"/>
        </w:rPr>
        <w:t>。</w:t>
      </w:r>
    </w:p>
    <w:p>
      <w:pPr>
        <w:ind w:firstLine="420" w:firstLineChars="200"/>
        <w:jc w:val="left"/>
        <w:rPr>
          <w:rFonts w:ascii="宋体" w:hAnsi="宋体" w:cs="宋体"/>
          <w:szCs w:val="21"/>
          <w:u w:val="single"/>
        </w:rPr>
      </w:pPr>
      <w:r>
        <w:rPr>
          <w:rFonts w:hint="eastAsia" w:ascii="宋体" w:hAnsi="宋体" w:cs="宋体"/>
          <w:szCs w:val="21"/>
        </w:rPr>
        <w:t>6.1.4 关于治安保卫的特别约定：</w:t>
      </w:r>
      <w:r>
        <w:rPr>
          <w:rFonts w:hint="eastAsia" w:ascii="宋体" w:hAnsi="宋体" w:cs="宋体"/>
          <w:b/>
          <w:kern w:val="0"/>
          <w:szCs w:val="21"/>
          <w:u w:val="single"/>
        </w:rPr>
        <w:t>除按通用条款规定外，按照工程所在地公安机关治安管理规定执行</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关于编制施工场地治安管理计划的约定：</w:t>
      </w:r>
      <w:r>
        <w:rPr>
          <w:rFonts w:hint="eastAsia" w:ascii="宋体" w:hAnsi="宋体" w:cs="宋体"/>
          <w:b/>
          <w:kern w:val="0"/>
          <w:szCs w:val="21"/>
          <w:u w:val="single"/>
        </w:rPr>
        <w:t>开工前提供</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6.1.5 文明施工</w:t>
      </w:r>
    </w:p>
    <w:p>
      <w:pPr>
        <w:ind w:firstLine="420" w:firstLineChars="200"/>
        <w:rPr>
          <w:rFonts w:ascii="宋体" w:hAnsi="宋体" w:cs="宋体"/>
          <w:szCs w:val="21"/>
        </w:rPr>
      </w:pPr>
      <w:r>
        <w:rPr>
          <w:rFonts w:hint="eastAsia" w:ascii="宋体" w:hAnsi="宋体" w:cs="宋体"/>
          <w:szCs w:val="21"/>
        </w:rPr>
        <w:t>合同当事人对文明施工的要求：</w:t>
      </w:r>
    </w:p>
    <w:p>
      <w:pPr>
        <w:ind w:firstLine="422" w:firstLineChars="200"/>
        <w:rPr>
          <w:rFonts w:ascii="宋体" w:hAnsi="宋体" w:cs="宋体"/>
          <w:b/>
          <w:szCs w:val="21"/>
          <w:u w:val="single"/>
        </w:rPr>
      </w:pPr>
      <w:r>
        <w:rPr>
          <w:rFonts w:hint="eastAsia" w:ascii="宋体" w:hAnsi="宋体" w:cs="宋体"/>
          <w:b/>
          <w:szCs w:val="21"/>
          <w:u w:val="single"/>
        </w:rPr>
        <w:t>1、施工现场须按照国家和地方的相关法律、法规要求做好硬地化处理，在本工程用地红线范围内，凡</w:t>
      </w:r>
      <w:r>
        <w:rPr>
          <w:rFonts w:hint="eastAsia" w:ascii="宋体" w:hAnsi="宋体" w:cs="宋体"/>
          <w:b/>
          <w:kern w:val="0"/>
          <w:szCs w:val="21"/>
          <w:u w:val="single"/>
        </w:rPr>
        <w:t>承包人</w:t>
      </w:r>
      <w:r>
        <w:rPr>
          <w:rFonts w:hint="eastAsia" w:ascii="宋体" w:hAnsi="宋体" w:cs="宋体"/>
          <w:b/>
          <w:szCs w:val="21"/>
          <w:u w:val="single"/>
        </w:rPr>
        <w:t>准备用做临时道路、临建设施、材料构件堆场、加工场所、生活区域的用地，以及发包人和监理工程师指定的其它区域，必须完成场地硬化。施工临时道路布置应畅通；施工现场须设置排水设施，保持通畅，排入市政管网的污水应满足环保部门的规定。建筑材料、构件、机具应按总平面布置堆放，料堆须挂名称、品种、规格等标牌；施工过程中须做到工完场清；建筑垃圾应集中堆放，及时清运；易燃易爆品应分类存放。施工现场内应设置安全标语、宣传栏。雨季施工需遵守国家地方现行有关标准。</w:t>
      </w:r>
    </w:p>
    <w:p>
      <w:pPr>
        <w:ind w:firstLine="422" w:firstLineChars="200"/>
        <w:rPr>
          <w:rFonts w:ascii="宋体" w:hAnsi="宋体" w:cs="宋体"/>
          <w:b/>
          <w:szCs w:val="21"/>
          <w:u w:val="single"/>
        </w:rPr>
      </w:pPr>
      <w:r>
        <w:rPr>
          <w:rFonts w:hint="eastAsia" w:ascii="宋体" w:hAnsi="宋体" w:cs="宋体"/>
          <w:b/>
          <w:szCs w:val="21"/>
          <w:u w:val="single"/>
        </w:rPr>
        <w:t>2、施工工地内建立“七牌一图”，即工程项目简介及质监举报电话牌、工程项目经理牌、安全生产制度牌、消防保卫制度牌、环境保护制度牌、工程创优牌、文明施工牌和工地施工平面布置图。否则，发包人代为制作，费用由承包人支付并保管，以发票为结算依据。如遗失或损坏则由承包人负责重新制作。施工区域或危险区域有醒目的警示标志，并采取安全保护措施。具体尺寸报监理工程师、发包人统一确定。</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ascii="宋体" w:hAnsi="宋体" w:cs="宋体"/>
          <w:b/>
          <w:szCs w:val="21"/>
          <w:u w:val="single"/>
        </w:rPr>
      </w:pPr>
      <w:r>
        <w:rPr>
          <w:rFonts w:hint="eastAsia" w:ascii="宋体" w:hAnsi="宋体" w:cs="宋体"/>
          <w:b/>
          <w:szCs w:val="21"/>
          <w:u w:val="single"/>
        </w:rPr>
        <w:t>3、承包人必须于中标通知书发出后15日内将自行编制（或委托具有相应资质的单位编制）的交通疏解及维护方案提交工程师和发包人审核确认后，报交管及其他相关部门批准并按照批准的方案负责组织实施，确保车辆运行通畅和施工安全，施工时必须保持沿线交通及周围社区双向全部车道正常通行。其编制、评审、审批、修改、实施的全部费用均由承包人承担。</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ascii="宋体" w:hAnsi="宋体" w:cs="宋体"/>
          <w:b/>
          <w:szCs w:val="21"/>
          <w:u w:val="single"/>
        </w:rPr>
      </w:pPr>
      <w:r>
        <w:rPr>
          <w:rFonts w:hint="eastAsia" w:ascii="宋体" w:hAnsi="宋体" w:cs="宋体"/>
          <w:b/>
          <w:szCs w:val="21"/>
          <w:u w:val="single"/>
        </w:rPr>
        <w:t>4、承包人必须拥有正规泥头车队伍的证明文件或承包人与正规泥头车队伍签订的土石方运输协议（附正规泥头车队伍证明文件）。“正规泥头车队伍证明文件”是指运输车辆经交通、城管审验后核发的证件，即交通部门核发的《道路运输证》，城管部门核发的《城市建筑垃圾准运证》，土石方外运时需通过限时路段的。如果承包人违反此规定，发包人有权要求承包人向发包人支付违约金30000元/次，并有权解除合同。</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ascii="宋体" w:hAnsi="宋体" w:cs="宋体"/>
          <w:b/>
          <w:szCs w:val="21"/>
          <w:u w:val="single"/>
        </w:rPr>
      </w:pPr>
      <w:r>
        <w:rPr>
          <w:rFonts w:hint="eastAsia" w:ascii="宋体" w:hAnsi="宋体" w:cs="宋体"/>
          <w:b/>
          <w:szCs w:val="21"/>
          <w:u w:val="single"/>
        </w:rPr>
        <w:t>5、承包人在</w:t>
      </w:r>
      <w:r>
        <w:rPr>
          <w:rFonts w:hint="eastAsia" w:ascii="宋体" w:hAnsi="宋体" w:cs="宋体"/>
          <w:b/>
          <w:kern w:val="0"/>
          <w:szCs w:val="21"/>
          <w:u w:val="single"/>
        </w:rPr>
        <w:t>施工</w:t>
      </w:r>
      <w:r>
        <w:rPr>
          <w:rFonts w:hint="eastAsia" w:ascii="宋体" w:hAnsi="宋体" w:cs="宋体"/>
          <w:b/>
          <w:szCs w:val="21"/>
          <w:u w:val="single"/>
        </w:rPr>
        <w:t>过程中必须根据环保部门和城管部门的要求采取一切可能的措施做好环境保护和水土保持工作，环境保护措施包括但不局限于：</w:t>
      </w:r>
    </w:p>
    <w:p>
      <w:pPr>
        <w:keepNext w:val="0"/>
        <w:keepLines w:val="0"/>
        <w:pageBreakBefore w:val="0"/>
        <w:widowControl w:val="0"/>
        <w:numPr>
          <w:ilvl w:val="0"/>
          <w:numId w:val="18"/>
        </w:numPr>
        <w:kinsoku/>
        <w:wordWrap/>
        <w:overflowPunct/>
        <w:topLinePunct w:val="0"/>
        <w:autoSpaceDE/>
        <w:autoSpaceDN/>
        <w:bidi w:val="0"/>
        <w:adjustRightInd/>
        <w:snapToGrid/>
        <w:ind w:firstLine="482"/>
        <w:textAlignment w:val="auto"/>
        <w:rPr>
          <w:rFonts w:ascii="宋体" w:hAnsi="宋体" w:cs="宋体"/>
          <w:b/>
          <w:szCs w:val="21"/>
          <w:u w:val="single"/>
        </w:rPr>
      </w:pPr>
      <w:r>
        <w:rPr>
          <w:rFonts w:hint="eastAsia" w:ascii="宋体" w:hAnsi="宋体" w:cs="宋体"/>
          <w:b/>
          <w:szCs w:val="21"/>
          <w:u w:val="single"/>
        </w:rPr>
        <w:t>生态环境保护措施：禁止砍伐红线范围外的林木；生活基地不能设在林区；施工期料场、拌合场、预制场、沥青混合料搅拌场等临时用地应尽可能利用工程征地范围内的土地，减少项目区地表植被被损坏；施工前期对现有菜地、果园、农田表层熟土进行收集，施工后期用到需要恢复植被的地方。</w:t>
      </w:r>
    </w:p>
    <w:p>
      <w:pPr>
        <w:keepNext w:val="0"/>
        <w:keepLines w:val="0"/>
        <w:pageBreakBefore w:val="0"/>
        <w:widowControl w:val="0"/>
        <w:numPr>
          <w:ilvl w:val="0"/>
          <w:numId w:val="18"/>
        </w:numPr>
        <w:kinsoku/>
        <w:wordWrap/>
        <w:overflowPunct/>
        <w:topLinePunct w:val="0"/>
        <w:autoSpaceDE/>
        <w:autoSpaceDN/>
        <w:bidi w:val="0"/>
        <w:adjustRightInd/>
        <w:snapToGrid/>
        <w:ind w:firstLine="482"/>
        <w:textAlignment w:val="auto"/>
        <w:rPr>
          <w:rFonts w:ascii="宋体" w:hAnsi="宋体" w:cs="宋体"/>
          <w:b/>
          <w:szCs w:val="21"/>
          <w:u w:val="single"/>
        </w:rPr>
      </w:pPr>
      <w:r>
        <w:rPr>
          <w:rFonts w:hint="eastAsia" w:ascii="宋体" w:hAnsi="宋体" w:cs="宋体"/>
          <w:b/>
          <w:szCs w:val="21"/>
          <w:u w:val="single"/>
        </w:rPr>
        <w:t>水土流失防治措施：合理安排施工单元，减少作业面的裸露时间；大面积破土必须避开雨季；优化挖方填方，对土石方合理利用；对已完工土石方工程裸露表面，即使采取</w:t>
      </w:r>
      <w:r>
        <w:rPr>
          <w:rFonts w:hint="eastAsia" w:ascii="宋体" w:hAnsi="宋体" w:cs="宋体"/>
          <w:b/>
          <w:kern w:val="0"/>
          <w:szCs w:val="21"/>
          <w:u w:val="single"/>
        </w:rPr>
        <w:t>防护措施</w:t>
      </w:r>
      <w:r>
        <w:rPr>
          <w:rFonts w:hint="eastAsia" w:ascii="宋体" w:hAnsi="宋体" w:cs="宋体"/>
          <w:b/>
          <w:szCs w:val="21"/>
          <w:u w:val="single"/>
        </w:rPr>
        <w:t>；及时做好排水导流工作，减轻水流对裸露地表的冲刷；雨季</w:t>
      </w:r>
      <w:r>
        <w:rPr>
          <w:rFonts w:hint="eastAsia" w:ascii="宋体" w:hAnsi="宋体" w:cs="宋体"/>
          <w:b/>
          <w:kern w:val="0"/>
          <w:szCs w:val="21"/>
          <w:u w:val="single"/>
        </w:rPr>
        <w:t>施工</w:t>
      </w:r>
      <w:r>
        <w:rPr>
          <w:rFonts w:hint="eastAsia" w:ascii="宋体" w:hAnsi="宋体" w:cs="宋体"/>
          <w:b/>
          <w:szCs w:val="21"/>
          <w:u w:val="single"/>
        </w:rPr>
        <w:t>随时与气象部门保持联系，在大雨、台风到来之前做好相应的应急工作；河流路段是本项目水土保持重点，应制定严格的环保制度和施工方案，禁止在河道旁弃土，防止泥沙进入河流；修建防水土流失的设施，使地表径流和工程用水经沉砂池沉降后方可排放，沉砂池要定期清理。</w:t>
      </w:r>
    </w:p>
    <w:p>
      <w:pPr>
        <w:keepNext w:val="0"/>
        <w:keepLines w:val="0"/>
        <w:pageBreakBefore w:val="0"/>
        <w:widowControl w:val="0"/>
        <w:numPr>
          <w:ilvl w:val="0"/>
          <w:numId w:val="18"/>
        </w:numPr>
        <w:kinsoku/>
        <w:wordWrap/>
        <w:overflowPunct/>
        <w:topLinePunct w:val="0"/>
        <w:autoSpaceDE/>
        <w:autoSpaceDN/>
        <w:bidi w:val="0"/>
        <w:adjustRightInd/>
        <w:snapToGrid/>
        <w:ind w:firstLine="482"/>
        <w:textAlignment w:val="auto"/>
        <w:rPr>
          <w:rFonts w:ascii="宋体" w:hAnsi="宋体" w:cs="宋体"/>
          <w:b/>
          <w:szCs w:val="21"/>
          <w:u w:val="single"/>
        </w:rPr>
      </w:pPr>
      <w:r>
        <w:rPr>
          <w:rFonts w:hint="eastAsia" w:ascii="宋体" w:hAnsi="宋体" w:cs="宋体"/>
          <w:b/>
          <w:szCs w:val="21"/>
          <w:u w:val="single"/>
        </w:rPr>
        <w:t>水环境污染防治措施：禁止向河道倾倒一切废物，在河道施工防止物料洒落对河流造成污染；河流周围不能建生活设施、可产生污染材料的堆放场、沥青混凝土搅拌站；制定严格的规章制度，禁止向雨水口随意倾倒一切废物，包括生产和生活污水、生产和生活垃圾等；生活废水要自建生活污水处理装置；生活垃圾要收集在有防雨棚和防地表径流冲刷的临时垃圾池内，及时集中清运。</w:t>
      </w:r>
    </w:p>
    <w:p>
      <w:pPr>
        <w:keepNext w:val="0"/>
        <w:keepLines w:val="0"/>
        <w:pageBreakBefore w:val="0"/>
        <w:widowControl w:val="0"/>
        <w:numPr>
          <w:ilvl w:val="0"/>
          <w:numId w:val="18"/>
        </w:numPr>
        <w:kinsoku/>
        <w:wordWrap/>
        <w:overflowPunct/>
        <w:topLinePunct w:val="0"/>
        <w:autoSpaceDE/>
        <w:autoSpaceDN/>
        <w:bidi w:val="0"/>
        <w:adjustRightInd/>
        <w:snapToGrid/>
        <w:ind w:firstLine="482"/>
        <w:textAlignment w:val="auto"/>
        <w:rPr>
          <w:rFonts w:ascii="宋体" w:hAnsi="宋体" w:cs="宋体"/>
          <w:b/>
          <w:szCs w:val="21"/>
          <w:u w:val="single"/>
        </w:rPr>
      </w:pPr>
      <w:r>
        <w:rPr>
          <w:rFonts w:hint="eastAsia" w:ascii="宋体" w:hAnsi="宋体" w:cs="宋体"/>
          <w:b/>
          <w:szCs w:val="21"/>
          <w:u w:val="single"/>
        </w:rPr>
        <w:t>大气污染防治措施：采用洒水湿法抑尘；重点时段防护如：大风天；运输车辆经过的</w:t>
      </w:r>
      <w:r>
        <w:rPr>
          <w:rFonts w:hint="eastAsia" w:ascii="宋体" w:hAnsi="宋体" w:cs="宋体"/>
          <w:b/>
          <w:kern w:val="0"/>
          <w:szCs w:val="21"/>
          <w:u w:val="single"/>
        </w:rPr>
        <w:t>施工</w:t>
      </w:r>
      <w:r>
        <w:rPr>
          <w:rFonts w:hint="eastAsia" w:ascii="宋体" w:hAnsi="宋体" w:cs="宋体"/>
          <w:b/>
          <w:szCs w:val="21"/>
          <w:u w:val="single"/>
        </w:rPr>
        <w:t>面与附近建成区之间的出入口必须设置洗车槽，对车辆进行冲洗；运送散装物料的机动车、存放散装物料的堆放场地必须用棚布遮盖；拌合设备尽量封闭；沥青混凝土铺设的日子最好在二级以上的风力条件下进行，避免局部过高的沥青烟浓度。</w:t>
      </w:r>
    </w:p>
    <w:p>
      <w:pPr>
        <w:keepNext w:val="0"/>
        <w:keepLines w:val="0"/>
        <w:pageBreakBefore w:val="0"/>
        <w:widowControl w:val="0"/>
        <w:numPr>
          <w:ilvl w:val="0"/>
          <w:numId w:val="18"/>
        </w:numPr>
        <w:kinsoku/>
        <w:wordWrap/>
        <w:overflowPunct/>
        <w:topLinePunct w:val="0"/>
        <w:autoSpaceDE/>
        <w:autoSpaceDN/>
        <w:bidi w:val="0"/>
        <w:adjustRightInd/>
        <w:snapToGrid/>
        <w:ind w:firstLine="482"/>
        <w:textAlignment w:val="auto"/>
        <w:rPr>
          <w:rFonts w:ascii="宋体" w:hAnsi="宋体" w:cs="宋体"/>
          <w:b/>
          <w:szCs w:val="21"/>
          <w:u w:val="single"/>
        </w:rPr>
      </w:pPr>
      <w:r>
        <w:rPr>
          <w:rFonts w:hint="eastAsia" w:ascii="宋体" w:hAnsi="宋体" w:cs="宋体"/>
          <w:b/>
          <w:szCs w:val="21"/>
          <w:u w:val="single"/>
        </w:rPr>
        <w:t>施工噪音防护措施：施工噪音执行《建筑施工场界环境噪声排放标准》（GB12523-2011）及有关规定，未经批准，中午和夜间不得施工作业；对高噪音的施工机械或加工环节尽量安排在远离民居的地方。</w:t>
      </w:r>
    </w:p>
    <w:p>
      <w:pPr>
        <w:keepNext w:val="0"/>
        <w:keepLines w:val="0"/>
        <w:pageBreakBefore w:val="0"/>
        <w:widowControl w:val="0"/>
        <w:numPr>
          <w:ilvl w:val="0"/>
          <w:numId w:val="18"/>
        </w:numPr>
        <w:kinsoku/>
        <w:wordWrap/>
        <w:overflowPunct/>
        <w:topLinePunct w:val="0"/>
        <w:autoSpaceDE/>
        <w:autoSpaceDN/>
        <w:bidi w:val="0"/>
        <w:adjustRightInd/>
        <w:snapToGrid/>
        <w:ind w:firstLine="482"/>
        <w:textAlignment w:val="auto"/>
        <w:rPr>
          <w:rFonts w:ascii="宋体" w:hAnsi="宋体" w:cs="宋体"/>
          <w:b/>
          <w:szCs w:val="21"/>
          <w:u w:val="single"/>
        </w:rPr>
      </w:pPr>
      <w:r>
        <w:rPr>
          <w:rFonts w:hint="eastAsia" w:ascii="宋体" w:hAnsi="宋体" w:cs="宋体"/>
          <w:b/>
          <w:szCs w:val="21"/>
          <w:u w:val="single"/>
        </w:rPr>
        <w:t>针对固体废物可能产生的多种环境</w:t>
      </w:r>
      <w:r>
        <w:rPr>
          <w:rFonts w:hint="eastAsia" w:ascii="宋体" w:hAnsi="宋体" w:cs="宋体"/>
          <w:b/>
          <w:kern w:val="0"/>
          <w:szCs w:val="21"/>
          <w:u w:val="single"/>
        </w:rPr>
        <w:t>影响</w:t>
      </w:r>
      <w:r>
        <w:rPr>
          <w:rFonts w:hint="eastAsia" w:ascii="宋体" w:hAnsi="宋体" w:cs="宋体"/>
          <w:b/>
          <w:szCs w:val="21"/>
          <w:u w:val="single"/>
        </w:rPr>
        <w:t>，须采取必要的措施分类收集，运至指定地点和按规定进行处理。</w:t>
      </w:r>
    </w:p>
    <w:p>
      <w:pPr>
        <w:keepNext w:val="0"/>
        <w:keepLines w:val="0"/>
        <w:pageBreakBefore w:val="0"/>
        <w:widowControl w:val="0"/>
        <w:numPr>
          <w:ilvl w:val="0"/>
          <w:numId w:val="18"/>
        </w:numPr>
        <w:kinsoku/>
        <w:wordWrap/>
        <w:overflowPunct/>
        <w:topLinePunct w:val="0"/>
        <w:autoSpaceDE/>
        <w:autoSpaceDN/>
        <w:bidi w:val="0"/>
        <w:adjustRightInd/>
        <w:snapToGrid/>
        <w:ind w:firstLine="482"/>
        <w:textAlignment w:val="auto"/>
        <w:rPr>
          <w:rFonts w:ascii="宋体" w:hAnsi="宋体" w:cs="宋体"/>
          <w:b/>
          <w:szCs w:val="21"/>
          <w:u w:val="single"/>
        </w:rPr>
      </w:pPr>
      <w:r>
        <w:rPr>
          <w:rFonts w:hint="eastAsia" w:ascii="宋体" w:hAnsi="宋体" w:cs="宋体"/>
          <w:b/>
          <w:szCs w:val="21"/>
          <w:u w:val="single"/>
        </w:rPr>
        <w:t>保护景观的措施：施工不留隐患，对施工便道等临时设施，承包人在施工后期要恢复植被，消除其不良视觉效果，必须恢复到使工程师和发包人满意，并满足政府有关部门的规定和要求。</w:t>
      </w:r>
    </w:p>
    <w:p>
      <w:pPr>
        <w:keepNext w:val="0"/>
        <w:keepLines w:val="0"/>
        <w:pageBreakBefore w:val="0"/>
        <w:widowControl w:val="0"/>
        <w:kinsoku/>
        <w:wordWrap/>
        <w:overflowPunct/>
        <w:topLinePunct w:val="0"/>
        <w:autoSpaceDE/>
        <w:autoSpaceDN/>
        <w:bidi w:val="0"/>
        <w:adjustRightInd/>
        <w:snapToGrid/>
        <w:ind w:left="378" w:leftChars="180"/>
        <w:textAlignment w:val="auto"/>
        <w:rPr>
          <w:rFonts w:ascii="宋体" w:hAnsi="宋体" w:cs="宋体"/>
          <w:b/>
          <w:szCs w:val="21"/>
          <w:u w:val="single"/>
        </w:rPr>
      </w:pPr>
      <w:r>
        <w:rPr>
          <w:rFonts w:hint="eastAsia" w:ascii="宋体" w:hAnsi="宋体" w:cs="宋体"/>
          <w:b/>
          <w:szCs w:val="21"/>
          <w:u w:val="single"/>
        </w:rPr>
        <w:t>7、施工排水、降水内容包括但不局限于：集水井、基槽、基坑、沟槽的抽</w:t>
      </w:r>
    </w:p>
    <w:p>
      <w:pPr>
        <w:keepNext w:val="0"/>
        <w:keepLines w:val="0"/>
        <w:pageBreakBefore w:val="0"/>
        <w:widowControl w:val="0"/>
        <w:kinsoku/>
        <w:wordWrap/>
        <w:overflowPunct/>
        <w:topLinePunct w:val="0"/>
        <w:autoSpaceDE/>
        <w:autoSpaceDN/>
        <w:bidi w:val="0"/>
        <w:adjustRightInd/>
        <w:snapToGrid/>
        <w:ind w:firstLine="422" w:firstLineChars="200"/>
        <w:jc w:val="left"/>
        <w:textAlignment w:val="auto"/>
        <w:rPr>
          <w:rFonts w:ascii="宋体" w:hAnsi="宋体" w:cs="宋体"/>
          <w:b/>
          <w:kern w:val="0"/>
          <w:szCs w:val="21"/>
          <w:u w:val="single"/>
        </w:rPr>
      </w:pPr>
      <w:r>
        <w:rPr>
          <w:rFonts w:hint="eastAsia" w:ascii="宋体" w:hAnsi="宋体" w:cs="宋体"/>
          <w:b/>
          <w:szCs w:val="21"/>
          <w:u w:val="single"/>
        </w:rPr>
        <w:t>排水、降水；修建集水井、截水带、与红线外排洪或排水管沟的连接管和渠道；完成雨季排水设施、施工导流、防洪排涝、防台风等工作内容及措施。整个施工阶段的现场的降排水措施、抽排水台班和水土保持方案所发生的全部</w:t>
      </w:r>
      <w:r>
        <w:rPr>
          <w:rFonts w:hint="eastAsia" w:ascii="宋体" w:hAnsi="宋体" w:cs="宋体"/>
          <w:b/>
          <w:kern w:val="0"/>
          <w:szCs w:val="21"/>
          <w:u w:val="single"/>
        </w:rPr>
        <w:t>费用，</w:t>
      </w:r>
      <w:r>
        <w:rPr>
          <w:rFonts w:hint="eastAsia" w:ascii="宋体" w:hAnsi="宋体" w:cs="宋体"/>
          <w:b/>
          <w:szCs w:val="21"/>
          <w:u w:val="single"/>
        </w:rPr>
        <w:t>此项费用已经包含在投标报价的措施费内，不因施工方案的变更而增加费用</w:t>
      </w:r>
      <w:r>
        <w:rPr>
          <w:rFonts w:hint="eastAsia" w:ascii="宋体" w:hAnsi="宋体" w:cs="宋体"/>
          <w:b/>
          <w:kern w:val="0"/>
          <w:szCs w:val="21"/>
          <w:u w:val="single"/>
        </w:rPr>
        <w:t>。</w:t>
      </w:r>
    </w:p>
    <w:p>
      <w:pPr>
        <w:keepNext w:val="0"/>
        <w:keepLines w:val="0"/>
        <w:pageBreakBefore w:val="0"/>
        <w:widowControl w:val="0"/>
        <w:kinsoku/>
        <w:wordWrap/>
        <w:overflowPunct/>
        <w:topLinePunct w:val="0"/>
        <w:autoSpaceDE/>
        <w:autoSpaceDN/>
        <w:bidi w:val="0"/>
        <w:adjustRightInd/>
        <w:snapToGrid/>
        <w:ind w:firstLine="422" w:firstLineChars="200"/>
        <w:jc w:val="left"/>
        <w:textAlignment w:val="auto"/>
        <w:rPr>
          <w:rFonts w:ascii="宋体" w:hAnsi="宋体" w:cs="宋体"/>
          <w:b/>
          <w:szCs w:val="21"/>
          <w:u w:val="single"/>
        </w:rPr>
      </w:pPr>
      <w:r>
        <w:rPr>
          <w:rFonts w:hint="eastAsia" w:ascii="宋体" w:hAnsi="宋体" w:cs="宋体"/>
          <w:b/>
          <w:szCs w:val="21"/>
          <w:u w:val="single"/>
        </w:rPr>
        <w:t>8、现场安全文明设计需满足发包人所提出的要求：第一，主要管理人员与投标文件内填写的应一致；第二，施工现场。围档围墙要稳固、整洁、美观。主进出口门头设企业标志，两侧要挂“五牌一图”,标牌应规范、整齐；第三，施工场内道路要畅通，无污水、积水，地面要平整，并以素混凝土进行硬化；排水要通畅，要有防止泥浆、污物堵塞排水管道的措施；按要求张挂各种安全标志牌和标语，设宣传栏，读报栏和黑板报并设有吸烟处；有绿化布置；第四，施工场内，建筑材料、构件和料具要按施工现场平面图的布置要求堆放整齐，并挂物料名称，品种，规格等标牌，施工现场渣土和垃圾清运应当采取喷淋压尘装载。第五，施工现场要有消防措施、制度和灭火器材，灭火器材配置应合理、合格，要有消防水源，使用明火应有动火审批手续和动火监护。第六，施工现场的施工区、办公区、生活区应当分开设置，实行区划管理。第七，工地内必须设置医疗室，配备经培训的急救人员、保健医药箱、安全急救措施和急救器材，要开展卫生、防病自救、互救宣传教育。第八，施工要有防粉尘、防噪音、防扰民措施，现场严禁燃烧有毒有害物质。第九，要建立治安保卫制度，责任要分解到人。</w:t>
      </w:r>
    </w:p>
    <w:p>
      <w:pPr>
        <w:keepNext w:val="0"/>
        <w:keepLines w:val="0"/>
        <w:pageBreakBefore w:val="0"/>
        <w:widowControl w:val="0"/>
        <w:kinsoku/>
        <w:wordWrap/>
        <w:overflowPunct/>
        <w:topLinePunct w:val="0"/>
        <w:autoSpaceDE/>
        <w:autoSpaceDN/>
        <w:bidi w:val="0"/>
        <w:adjustRightInd/>
        <w:snapToGrid/>
        <w:ind w:firstLine="422" w:firstLineChars="200"/>
        <w:jc w:val="left"/>
        <w:textAlignment w:val="auto"/>
        <w:rPr>
          <w:rFonts w:ascii="宋体" w:hAnsi="宋体" w:cs="宋体"/>
          <w:b/>
          <w:szCs w:val="21"/>
          <w:u w:val="single"/>
        </w:rPr>
      </w:pPr>
      <w:r>
        <w:rPr>
          <w:rFonts w:hint="eastAsia" w:ascii="宋体" w:hAnsi="宋体" w:cs="宋体"/>
          <w:b/>
          <w:szCs w:val="21"/>
          <w:u w:val="single"/>
        </w:rPr>
        <w:t>9、承包人应严格遵守国际及地方政府颁发的安全施工、文明施工等规范、条例，遵守发包人的现场管理规定。同时，承包人应严格按安全标准组织施工，并随时接受行业安全检查人员依法实施的监督检查，采取必要的安全防护措施，消除事故隐患。</w:t>
      </w:r>
    </w:p>
    <w:p>
      <w:pPr>
        <w:keepNext w:val="0"/>
        <w:keepLines w:val="0"/>
        <w:pageBreakBefore w:val="0"/>
        <w:widowControl w:val="0"/>
        <w:kinsoku/>
        <w:wordWrap/>
        <w:overflowPunct/>
        <w:topLinePunct w:val="0"/>
        <w:autoSpaceDE/>
        <w:autoSpaceDN/>
        <w:bidi w:val="0"/>
        <w:adjustRightInd/>
        <w:snapToGrid/>
        <w:ind w:firstLine="422" w:firstLineChars="200"/>
        <w:jc w:val="left"/>
        <w:textAlignment w:val="auto"/>
        <w:rPr>
          <w:rFonts w:ascii="宋体" w:hAnsi="宋体" w:cs="宋体"/>
          <w:b/>
          <w:szCs w:val="21"/>
          <w:u w:val="single"/>
        </w:rPr>
      </w:pPr>
      <w:r>
        <w:rPr>
          <w:rFonts w:hint="eastAsia" w:ascii="宋体" w:hAnsi="宋体" w:cs="宋体"/>
          <w:b/>
          <w:szCs w:val="21"/>
          <w:u w:val="single"/>
        </w:rPr>
        <w:t>承包人在发包人、监理进行的日常质量安全检查中，被发现存在隐患的，承包人应限期整改。若同样问题被发现 2 次的或累计类似问题被发现 3 次，承包人必须承担一般违约责任1 次，发包人有权在承包人的工程款中扣除1万元/次作为违约罚金。此类问题的认定，以发包人、监理书面通知、指令、通报和会议纪要为准。</w:t>
      </w:r>
    </w:p>
    <w:p>
      <w:pPr>
        <w:ind w:firstLine="422" w:firstLineChars="200"/>
        <w:jc w:val="left"/>
        <w:rPr>
          <w:rFonts w:ascii="宋体" w:hAnsi="宋体" w:cs="宋体"/>
          <w:b/>
          <w:szCs w:val="21"/>
          <w:u w:val="single"/>
        </w:rPr>
      </w:pPr>
      <w:r>
        <w:rPr>
          <w:rFonts w:hint="eastAsia" w:ascii="宋体" w:hAnsi="宋体" w:cs="宋体"/>
          <w:b/>
          <w:szCs w:val="21"/>
          <w:u w:val="single"/>
        </w:rPr>
        <w:t>对于安全部门、发包人和监理要求整改的安全隐患，承包人没有执行或执行不力，发包人有权要求承包人支付人民币 10000 元/次的违约金；对于累计五次不改者违约金提高到10万元/次。凡本项目发生的安全事故（含工程质量事故），其责任和相关的损失由承包人全部承担。</w:t>
      </w:r>
    </w:p>
    <w:p>
      <w:pPr>
        <w:ind w:firstLine="420" w:firstLineChars="200"/>
        <w:jc w:val="left"/>
        <w:rPr>
          <w:rFonts w:ascii="宋体" w:hAnsi="宋体" w:cs="宋体"/>
          <w:szCs w:val="21"/>
        </w:rPr>
      </w:pPr>
      <w:r>
        <w:rPr>
          <w:rFonts w:hint="eastAsia" w:ascii="宋体" w:hAnsi="宋体" w:cs="宋体"/>
          <w:szCs w:val="21"/>
        </w:rPr>
        <w:t>6.1.6 关于安全文明施工费支付比例和支付期限的约定：</w:t>
      </w:r>
      <w:r>
        <w:rPr>
          <w:rFonts w:hint="eastAsia" w:ascii="宋体" w:hAnsi="宋体" w:cs="宋体"/>
          <w:b/>
          <w:szCs w:val="21"/>
          <w:u w:val="single"/>
        </w:rPr>
        <w:t>承包人安全生产、文明施工工作须经监理审核以及发包人考核。承包人须提供安全文明施工工作报告（附带现场记录以及图片等相关资料），经监理和发包人审核后，考核结果合格的，相关费用按当期进度款比例支付；考核不合格的，承包人无条件按照监理或发包人发出的整改文件落实整改，期间发包人有权扣除当期相关费用；对于整改不力的，发包人有权扣除安全文明施工相关费用，用作委托第三方开展相关措施及设施的施工。详细参照建设工程施工合同第四部分补充条款附表《施工单位安全文明施工违约行为处分标准》，履约分处分合计等于或大于20分即认定为考核不合格。绿色施工安全防护措施费专款专用，承包人应在财务账目中单独列项备查，不得挪作他用，否则监理工程师有权责令限期改正；逾期未改正的，可以责令其暂停施工，因此造成的损失由承包人承担，延误的工期不予顺延</w:t>
      </w:r>
      <w:r>
        <w:rPr>
          <w:rFonts w:hint="eastAsia" w:ascii="宋体" w:hAnsi="宋体" w:cs="宋体"/>
          <w:szCs w:val="21"/>
        </w:rPr>
        <w:t>。</w:t>
      </w:r>
    </w:p>
    <w:p>
      <w:pPr>
        <w:pStyle w:val="7"/>
        <w:tabs>
          <w:tab w:val="left" w:pos="864"/>
        </w:tabs>
        <w:ind w:hanging="862"/>
        <w:rPr>
          <w:rFonts w:ascii="宋体" w:hAnsi="宋体" w:cs="宋体"/>
          <w:bCs w:val="0"/>
          <w:sz w:val="21"/>
          <w:szCs w:val="21"/>
        </w:rPr>
      </w:pPr>
      <w:r>
        <w:rPr>
          <w:rFonts w:hint="eastAsia" w:ascii="宋体" w:hAnsi="宋体" w:cs="宋体"/>
          <w:bCs w:val="0"/>
          <w:sz w:val="21"/>
          <w:szCs w:val="21"/>
        </w:rPr>
        <w:t>7. 工期和进度</w:t>
      </w:r>
    </w:p>
    <w:p>
      <w:pPr>
        <w:ind w:firstLine="420" w:firstLineChars="200"/>
        <w:rPr>
          <w:rFonts w:ascii="宋体" w:hAnsi="宋体" w:cs="宋体"/>
          <w:szCs w:val="21"/>
        </w:rPr>
      </w:pPr>
      <w:r>
        <w:rPr>
          <w:rFonts w:hint="eastAsia" w:ascii="宋体" w:hAnsi="宋体" w:cs="宋体"/>
          <w:szCs w:val="21"/>
        </w:rPr>
        <w:t>7.1 施工组织设计</w:t>
      </w:r>
    </w:p>
    <w:p>
      <w:pPr>
        <w:autoSpaceDE w:val="0"/>
        <w:autoSpaceDN w:val="0"/>
        <w:adjustRightInd w:val="0"/>
        <w:ind w:firstLine="420" w:firstLineChars="200"/>
        <w:jc w:val="left"/>
        <w:rPr>
          <w:rFonts w:ascii="宋体" w:hAnsi="宋体" w:cs="宋体"/>
          <w:kern w:val="0"/>
          <w:szCs w:val="21"/>
        </w:rPr>
      </w:pPr>
      <w:r>
        <w:rPr>
          <w:rFonts w:hint="eastAsia" w:ascii="宋体" w:hAnsi="宋体" w:cs="宋体"/>
          <w:szCs w:val="21"/>
        </w:rPr>
        <w:t>7.1.1 合</w:t>
      </w:r>
      <w:r>
        <w:rPr>
          <w:rFonts w:hint="eastAsia" w:ascii="宋体" w:hAnsi="宋体" w:cs="宋体"/>
          <w:kern w:val="0"/>
          <w:szCs w:val="21"/>
        </w:rPr>
        <w:t>同当事人约定的施工组织设计应包括的其他内容：</w:t>
      </w:r>
    </w:p>
    <w:p>
      <w:pPr>
        <w:autoSpaceDE w:val="0"/>
        <w:autoSpaceDN w:val="0"/>
        <w:adjustRightInd w:val="0"/>
        <w:ind w:firstLine="420" w:firstLineChars="200"/>
        <w:jc w:val="left"/>
        <w:rPr>
          <w:rFonts w:ascii="宋体" w:hAnsi="宋体" w:cs="宋体"/>
          <w:szCs w:val="21"/>
        </w:rPr>
      </w:pPr>
      <w:r>
        <w:rPr>
          <w:rFonts w:hint="eastAsia" w:ascii="宋体" w:hAnsi="宋体" w:cs="宋体"/>
          <w:szCs w:val="21"/>
        </w:rPr>
        <w:t>（1）</w:t>
      </w:r>
      <w:r>
        <w:rPr>
          <w:rFonts w:hint="eastAsia" w:ascii="宋体" w:hAnsi="宋体" w:cs="宋体"/>
          <w:b/>
          <w:kern w:val="0"/>
          <w:szCs w:val="21"/>
          <w:u w:val="single"/>
        </w:rPr>
        <w:t>施工进度计划须包含完成工程量30%，50%，80%，100%的时间节点</w:t>
      </w:r>
      <w:r>
        <w:rPr>
          <w:rFonts w:hint="eastAsia" w:ascii="宋体" w:hAnsi="宋体" w:cs="宋体"/>
          <w:szCs w:val="21"/>
        </w:rPr>
        <w:t>。</w:t>
      </w:r>
    </w:p>
    <w:p>
      <w:pPr>
        <w:autoSpaceDE w:val="0"/>
        <w:autoSpaceDN w:val="0"/>
        <w:adjustRightInd w:val="0"/>
        <w:ind w:firstLine="420" w:firstLineChars="200"/>
        <w:jc w:val="left"/>
        <w:rPr>
          <w:rFonts w:ascii="宋体" w:hAnsi="宋体" w:cs="宋体"/>
          <w:szCs w:val="21"/>
        </w:rPr>
      </w:pPr>
      <w:r>
        <w:rPr>
          <w:rFonts w:hint="eastAsia" w:ascii="宋体" w:hAnsi="宋体" w:cs="宋体"/>
          <w:szCs w:val="21"/>
        </w:rPr>
        <w:t>（2）本工程涉及到的树木移栽、修剪等相关工作内容需经过业主、交警、城管局、园林局等相关单位审核。</w:t>
      </w:r>
    </w:p>
    <w:p>
      <w:pPr>
        <w:autoSpaceDE w:val="0"/>
        <w:autoSpaceDN w:val="0"/>
        <w:adjustRightInd w:val="0"/>
        <w:ind w:firstLine="420" w:firstLineChars="200"/>
        <w:jc w:val="left"/>
        <w:rPr>
          <w:rFonts w:ascii="宋体" w:hAnsi="宋体" w:cs="宋体"/>
          <w:szCs w:val="21"/>
        </w:rPr>
      </w:pPr>
      <w:r>
        <w:rPr>
          <w:rFonts w:hint="eastAsia" w:ascii="宋体" w:hAnsi="宋体" w:cs="宋体"/>
          <w:szCs w:val="21"/>
        </w:rPr>
        <w:t>（3）施工过程中须考虑夜间施工，多条路、多班组并行施工等相关问题。</w:t>
      </w:r>
    </w:p>
    <w:p>
      <w:pPr>
        <w:autoSpaceDE w:val="0"/>
        <w:autoSpaceDN w:val="0"/>
        <w:adjustRightInd w:val="0"/>
        <w:ind w:firstLine="420" w:firstLineChars="200"/>
        <w:jc w:val="left"/>
        <w:rPr>
          <w:rFonts w:ascii="宋体" w:hAnsi="宋体" w:cs="宋体"/>
          <w:kern w:val="0"/>
          <w:szCs w:val="21"/>
        </w:rPr>
      </w:pPr>
      <w:r>
        <w:rPr>
          <w:rFonts w:hint="eastAsia" w:ascii="宋体" w:hAnsi="宋体" w:cs="宋体"/>
          <w:szCs w:val="21"/>
        </w:rPr>
        <w:t>7.1.2</w:t>
      </w:r>
      <w:r>
        <w:rPr>
          <w:rFonts w:hint="eastAsia" w:ascii="宋体" w:hAnsi="宋体" w:cs="宋体"/>
          <w:kern w:val="0"/>
          <w:szCs w:val="21"/>
        </w:rPr>
        <w:t>施工组织设计的提交和修改</w:t>
      </w:r>
    </w:p>
    <w:p>
      <w:pPr>
        <w:autoSpaceDE w:val="0"/>
        <w:autoSpaceDN w:val="0"/>
        <w:adjustRightInd w:val="0"/>
        <w:ind w:firstLine="420" w:firstLineChars="200"/>
        <w:jc w:val="left"/>
        <w:rPr>
          <w:rFonts w:ascii="宋体" w:hAnsi="宋体" w:cs="宋体"/>
          <w:szCs w:val="21"/>
        </w:rPr>
      </w:pPr>
      <w:r>
        <w:rPr>
          <w:rFonts w:hint="eastAsia" w:ascii="宋体" w:hAnsi="宋体" w:cs="宋体"/>
          <w:kern w:val="0"/>
          <w:szCs w:val="21"/>
        </w:rPr>
        <w:t>承包人提交详细施工组织设计的期限的约定：</w:t>
      </w:r>
      <w:r>
        <w:rPr>
          <w:rFonts w:hint="eastAsia" w:ascii="宋体" w:hAnsi="宋体" w:cs="宋体"/>
          <w:b/>
          <w:kern w:val="0"/>
          <w:szCs w:val="21"/>
          <w:u w:val="single"/>
        </w:rPr>
        <w:t>开工前7天提供</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发包人和监理人在收到详细的施工组织设计后确认或提出修改意见的期限：</w:t>
      </w:r>
      <w:r>
        <w:rPr>
          <w:rFonts w:hint="eastAsia" w:ascii="宋体" w:hAnsi="宋体" w:cs="宋体"/>
          <w:b/>
          <w:kern w:val="0"/>
          <w:szCs w:val="21"/>
          <w:u w:val="single"/>
        </w:rPr>
        <w:t xml:space="preserve">/ </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7.2 施工进度计划</w:t>
      </w:r>
    </w:p>
    <w:p>
      <w:pPr>
        <w:ind w:firstLine="420" w:firstLineChars="200"/>
        <w:jc w:val="left"/>
        <w:rPr>
          <w:rFonts w:ascii="宋体" w:hAnsi="宋体" w:cs="宋体"/>
          <w:szCs w:val="21"/>
        </w:rPr>
      </w:pPr>
      <w:r>
        <w:rPr>
          <w:rFonts w:hint="eastAsia" w:ascii="宋体" w:hAnsi="宋体" w:cs="宋体"/>
          <w:szCs w:val="21"/>
        </w:rPr>
        <w:t>7.2.2 施工进度计划的修订：</w:t>
      </w:r>
    </w:p>
    <w:p>
      <w:pPr>
        <w:ind w:firstLine="420" w:firstLineChars="200"/>
        <w:jc w:val="left"/>
        <w:rPr>
          <w:rFonts w:ascii="宋体" w:hAnsi="宋体" w:cs="宋体"/>
          <w:b/>
          <w:kern w:val="0"/>
          <w:szCs w:val="21"/>
          <w:u w:val="single"/>
        </w:rPr>
      </w:pPr>
      <w:r>
        <w:rPr>
          <w:rFonts w:hint="eastAsia" w:ascii="宋体" w:hAnsi="宋体" w:cs="宋体"/>
          <w:szCs w:val="21"/>
        </w:rPr>
        <w:t>关于施工进度计划的修订相关事项的约定：</w:t>
      </w:r>
      <w:r>
        <w:rPr>
          <w:rFonts w:hint="eastAsia" w:ascii="宋体" w:hAnsi="宋体" w:cs="宋体"/>
          <w:b/>
          <w:kern w:val="0"/>
          <w:szCs w:val="21"/>
          <w:u w:val="single"/>
        </w:rPr>
        <w:t>在施工期间，若与进度计划有较大的偏离而须调整原定的工序，承包人须提交反应实际进度的更新和修正的进度计划表给监理工程师审批。若承包人未能按时完成工作，承包人须采取所有必须的步骤使工作能恢复按照原核准的计划。工期不会因规定的个别工序不能按时完成而调整。</w:t>
      </w:r>
    </w:p>
    <w:p>
      <w:pPr>
        <w:ind w:firstLine="422" w:firstLineChars="200"/>
        <w:jc w:val="left"/>
        <w:rPr>
          <w:rFonts w:ascii="宋体" w:hAnsi="宋体" w:cs="宋体"/>
          <w:b/>
          <w:kern w:val="0"/>
          <w:szCs w:val="21"/>
          <w:u w:val="single"/>
        </w:rPr>
      </w:pPr>
      <w:r>
        <w:rPr>
          <w:rFonts w:hint="eastAsia" w:ascii="宋体" w:hAnsi="宋体" w:cs="宋体"/>
          <w:b/>
          <w:kern w:val="0"/>
          <w:szCs w:val="21"/>
          <w:u w:val="single"/>
        </w:rPr>
        <w:t>若在合同执行期间发生特殊情况，监理工程师认为需要调整进度计划表时，承包人须按监理工程师的要求，修改其进度计划表。承包人须遵从监理工程师的指令，承包人亦不会因此等指令而获得工期延长及财务上的补偿。</w:t>
      </w:r>
    </w:p>
    <w:p>
      <w:pPr>
        <w:ind w:firstLine="422" w:firstLineChars="200"/>
        <w:jc w:val="left"/>
        <w:rPr>
          <w:rFonts w:ascii="宋体" w:hAnsi="宋体" w:cs="宋体"/>
          <w:b/>
          <w:kern w:val="0"/>
          <w:szCs w:val="21"/>
          <w:u w:val="single"/>
        </w:rPr>
      </w:pPr>
      <w:r>
        <w:rPr>
          <w:rFonts w:hint="eastAsia" w:ascii="宋体" w:hAnsi="宋体" w:cs="宋体"/>
          <w:b/>
          <w:kern w:val="0"/>
          <w:szCs w:val="21"/>
          <w:u w:val="single"/>
        </w:rPr>
        <w:t>为了保证工程进度，承包人须在其本身或其他分包单位的工程进度或物料供应有延误迹象时，及时通知监理工程师。</w:t>
      </w:r>
    </w:p>
    <w:p>
      <w:pPr>
        <w:ind w:firstLine="422" w:firstLineChars="200"/>
        <w:jc w:val="left"/>
        <w:rPr>
          <w:rFonts w:ascii="宋体" w:hAnsi="宋体" w:cs="宋体"/>
          <w:b/>
          <w:kern w:val="0"/>
          <w:szCs w:val="21"/>
          <w:u w:val="single"/>
        </w:rPr>
      </w:pPr>
      <w:r>
        <w:rPr>
          <w:rFonts w:hint="eastAsia" w:ascii="宋体" w:hAnsi="宋体" w:cs="宋体"/>
          <w:b/>
          <w:kern w:val="0"/>
          <w:szCs w:val="21"/>
          <w:u w:val="single"/>
        </w:rPr>
        <w:t>进度计划表（包括修改）的提交，和监理工程师的批准，皆不会解除承包人在合同中的任务和责任。</w:t>
      </w:r>
    </w:p>
    <w:p>
      <w:pPr>
        <w:ind w:firstLine="600"/>
        <w:jc w:val="left"/>
        <w:rPr>
          <w:rFonts w:ascii="宋体" w:hAnsi="宋体" w:cs="宋体"/>
          <w:szCs w:val="21"/>
        </w:rPr>
      </w:pPr>
      <w:r>
        <w:rPr>
          <w:rFonts w:hint="eastAsia" w:ascii="宋体" w:hAnsi="宋体" w:cs="宋体"/>
          <w:b/>
          <w:kern w:val="0"/>
          <w:szCs w:val="21"/>
          <w:u w:val="single"/>
        </w:rPr>
        <w:t>承包人须每周向监理工程师提交报告，详细说明工程的实际进度、与计划进度的偏差，以及其他与进度控制相关的资料等。</w:t>
      </w:r>
    </w:p>
    <w:p>
      <w:pPr>
        <w:ind w:firstLine="600"/>
        <w:jc w:val="left"/>
        <w:rPr>
          <w:rFonts w:ascii="宋体" w:hAnsi="宋体" w:cs="宋体"/>
          <w:b/>
          <w:kern w:val="0"/>
          <w:szCs w:val="21"/>
          <w:u w:val="single"/>
        </w:rPr>
      </w:pPr>
      <w:r>
        <w:rPr>
          <w:rFonts w:hint="eastAsia" w:ascii="宋体" w:hAnsi="宋体" w:cs="宋体"/>
          <w:szCs w:val="21"/>
        </w:rPr>
        <w:t>发包人和监理人在收到修订的施工进度计划后确认或提出修改意见的期限：</w:t>
      </w:r>
      <w:r>
        <w:rPr>
          <w:rFonts w:hint="eastAsia" w:ascii="宋体" w:hAnsi="宋体" w:cs="宋体"/>
          <w:b/>
          <w:kern w:val="0"/>
          <w:szCs w:val="21"/>
          <w:u w:val="single"/>
        </w:rPr>
        <w:t>收到后7天内。</w:t>
      </w:r>
    </w:p>
    <w:p>
      <w:pPr>
        <w:ind w:firstLine="422" w:firstLineChars="200"/>
        <w:rPr>
          <w:rFonts w:ascii="宋体" w:hAnsi="宋体" w:cs="宋体"/>
          <w:b/>
          <w:bCs/>
          <w:szCs w:val="21"/>
        </w:rPr>
      </w:pPr>
      <w:r>
        <w:rPr>
          <w:rFonts w:hint="eastAsia" w:ascii="宋体" w:hAnsi="宋体" w:cs="宋体"/>
          <w:b/>
          <w:bCs/>
          <w:szCs w:val="21"/>
        </w:rPr>
        <w:t>7.3 开工</w:t>
      </w:r>
    </w:p>
    <w:p>
      <w:pPr>
        <w:ind w:firstLine="420" w:firstLineChars="200"/>
        <w:jc w:val="left"/>
        <w:rPr>
          <w:rFonts w:ascii="宋体" w:hAnsi="宋体" w:cs="宋体"/>
          <w:szCs w:val="21"/>
        </w:rPr>
      </w:pPr>
      <w:r>
        <w:rPr>
          <w:rFonts w:hint="eastAsia" w:ascii="宋体" w:hAnsi="宋体" w:cs="宋体"/>
          <w:szCs w:val="21"/>
        </w:rPr>
        <w:t>7.3.1 开工准备</w:t>
      </w:r>
    </w:p>
    <w:p>
      <w:pPr>
        <w:ind w:firstLine="645"/>
        <w:jc w:val="left"/>
        <w:rPr>
          <w:rFonts w:ascii="宋体" w:hAnsi="宋体" w:cs="宋体"/>
          <w:szCs w:val="21"/>
          <w:u w:val="single"/>
        </w:rPr>
      </w:pPr>
      <w:r>
        <w:rPr>
          <w:rFonts w:hint="eastAsia" w:ascii="宋体" w:hAnsi="宋体" w:cs="宋体"/>
          <w:szCs w:val="21"/>
        </w:rPr>
        <w:t>关于承包人提交</w:t>
      </w:r>
      <w:r>
        <w:rPr>
          <w:rFonts w:hint="eastAsia" w:ascii="宋体" w:hAnsi="宋体" w:cs="宋体"/>
          <w:kern w:val="0"/>
          <w:szCs w:val="21"/>
        </w:rPr>
        <w:t>工程开工报审表的期限：</w:t>
      </w:r>
      <w:r>
        <w:rPr>
          <w:rFonts w:hint="eastAsia" w:ascii="宋体" w:hAnsi="宋体" w:cs="宋体"/>
          <w:b/>
          <w:kern w:val="0"/>
          <w:szCs w:val="21"/>
          <w:u w:val="single"/>
        </w:rPr>
        <w:t>开工前7天提供</w:t>
      </w:r>
      <w:r>
        <w:rPr>
          <w:rFonts w:hint="eastAsia" w:ascii="宋体" w:hAnsi="宋体" w:cs="宋体"/>
          <w:szCs w:val="21"/>
        </w:rPr>
        <w:t>。</w:t>
      </w:r>
    </w:p>
    <w:p>
      <w:pPr>
        <w:ind w:firstLine="645"/>
        <w:jc w:val="left"/>
        <w:rPr>
          <w:rFonts w:ascii="宋体" w:hAnsi="宋体" w:cs="宋体"/>
          <w:szCs w:val="21"/>
        </w:rPr>
      </w:pPr>
      <w:r>
        <w:rPr>
          <w:rFonts w:hint="eastAsia" w:ascii="宋体" w:hAnsi="宋体" w:cs="宋体"/>
          <w:szCs w:val="21"/>
        </w:rPr>
        <w:t>关于发包人应完成的其他开工准备工作及期限：</w:t>
      </w:r>
      <w:r>
        <w:rPr>
          <w:rFonts w:hint="eastAsia" w:ascii="宋体" w:hAnsi="宋体" w:cs="宋体"/>
          <w:b/>
          <w:kern w:val="0"/>
          <w:szCs w:val="21"/>
          <w:u w:val="single"/>
        </w:rPr>
        <w:t xml:space="preserve">  /  </w:t>
      </w:r>
      <w:r>
        <w:rPr>
          <w:rFonts w:hint="eastAsia" w:ascii="宋体" w:hAnsi="宋体" w:cs="宋体"/>
          <w:szCs w:val="21"/>
        </w:rPr>
        <w:t>。</w:t>
      </w:r>
    </w:p>
    <w:p>
      <w:pPr>
        <w:ind w:firstLine="645"/>
        <w:jc w:val="left"/>
        <w:rPr>
          <w:rFonts w:ascii="宋体" w:hAnsi="宋体" w:cs="宋体"/>
          <w:szCs w:val="21"/>
        </w:rPr>
      </w:pPr>
      <w:r>
        <w:rPr>
          <w:rFonts w:hint="eastAsia" w:ascii="宋体" w:hAnsi="宋体" w:cs="宋体"/>
          <w:szCs w:val="21"/>
        </w:rPr>
        <w:t>关于承包人应完成的其他开工准备工作及期限：</w:t>
      </w:r>
      <w:r>
        <w:rPr>
          <w:rFonts w:hint="eastAsia" w:ascii="宋体" w:hAnsi="宋体" w:cs="宋体"/>
          <w:b/>
          <w:kern w:val="0"/>
          <w:szCs w:val="21"/>
          <w:u w:val="single"/>
        </w:rPr>
        <w:t>承包人与招标人签订施工承包合同后，应在工程项目所在地的商业银行开立工人工资支付保证金专用账户；在办理施工许可证前，承包人应按照施工合同总造价的5%(最低不小于10万元，最多不超过150万元人民币)一次性将工资支付保证金存入中标人的保证金专用账户，否则，住房建设主管部门不予核发施工许可证。工人工资支付保证金的管理、支付及销户等应严格执行茂名市建筑施工企业工人工资支付保证金管理相关规定</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7.3.2开工通知</w:t>
      </w:r>
    </w:p>
    <w:p>
      <w:pPr>
        <w:ind w:firstLine="420" w:firstLineChars="200"/>
        <w:jc w:val="left"/>
        <w:rPr>
          <w:rFonts w:ascii="宋体" w:hAnsi="宋体" w:cs="宋体"/>
          <w:szCs w:val="21"/>
        </w:rPr>
      </w:pPr>
      <w:r>
        <w:rPr>
          <w:rFonts w:hint="eastAsia" w:ascii="宋体" w:hAnsi="宋体" w:cs="宋体"/>
          <w:szCs w:val="21"/>
        </w:rPr>
        <w:t>因发包人原因造成监理人未能在计划开工日期之日起</w:t>
      </w:r>
      <w:r>
        <w:rPr>
          <w:rFonts w:hint="eastAsia" w:ascii="宋体" w:hAnsi="宋体" w:cs="宋体"/>
          <w:b/>
          <w:kern w:val="0"/>
          <w:szCs w:val="21"/>
          <w:u w:val="single"/>
        </w:rPr>
        <w:t xml:space="preserve">  90  </w:t>
      </w:r>
      <w:r>
        <w:rPr>
          <w:rFonts w:hint="eastAsia" w:ascii="宋体" w:hAnsi="宋体" w:cs="宋体"/>
          <w:szCs w:val="21"/>
        </w:rPr>
        <w:t>天内发出开工通知的，承包人有权提出价格调整要求，或者解除合同。</w:t>
      </w:r>
    </w:p>
    <w:p>
      <w:pPr>
        <w:ind w:firstLine="420" w:firstLineChars="200"/>
        <w:rPr>
          <w:rFonts w:ascii="宋体" w:hAnsi="宋体" w:cs="宋体"/>
          <w:szCs w:val="21"/>
        </w:rPr>
      </w:pPr>
      <w:r>
        <w:rPr>
          <w:rFonts w:hint="eastAsia" w:ascii="宋体" w:hAnsi="宋体" w:cs="宋体"/>
          <w:szCs w:val="21"/>
        </w:rPr>
        <w:t>7.4 测量放线</w:t>
      </w:r>
    </w:p>
    <w:p>
      <w:pPr>
        <w:ind w:firstLine="420" w:firstLineChars="200"/>
        <w:jc w:val="left"/>
        <w:rPr>
          <w:rFonts w:ascii="宋体" w:hAnsi="宋体" w:cs="宋体"/>
          <w:szCs w:val="21"/>
          <w:u w:val="single"/>
        </w:rPr>
      </w:pPr>
      <w:r>
        <w:rPr>
          <w:rFonts w:hint="eastAsia" w:ascii="宋体" w:hAnsi="宋体" w:cs="宋体"/>
          <w:szCs w:val="21"/>
        </w:rPr>
        <w:t>7.4.1发包人通过监理人向承包人提供测量基准点、基准线和水准点及其书面资料的期限：</w:t>
      </w:r>
      <w:r>
        <w:rPr>
          <w:rFonts w:hint="eastAsia" w:ascii="宋体" w:hAnsi="宋体" w:cs="宋体"/>
          <w:b/>
          <w:kern w:val="0"/>
          <w:szCs w:val="21"/>
          <w:u w:val="single"/>
        </w:rPr>
        <w:t>监理工程师在发出开工令后的3天内提供</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7.5 工期延误</w:t>
      </w:r>
    </w:p>
    <w:p>
      <w:pPr>
        <w:ind w:firstLine="420" w:firstLineChars="200"/>
        <w:jc w:val="left"/>
        <w:rPr>
          <w:rFonts w:ascii="宋体" w:hAnsi="宋体" w:cs="宋体"/>
          <w:szCs w:val="21"/>
        </w:rPr>
      </w:pPr>
      <w:r>
        <w:rPr>
          <w:rFonts w:hint="eastAsia" w:ascii="宋体" w:hAnsi="宋体" w:cs="宋体"/>
          <w:szCs w:val="21"/>
        </w:rPr>
        <w:t>7.5.1 因发包人原因导致工期延误</w:t>
      </w:r>
    </w:p>
    <w:p>
      <w:pPr>
        <w:ind w:firstLine="420" w:firstLineChars="200"/>
        <w:jc w:val="left"/>
        <w:rPr>
          <w:rFonts w:ascii="宋体" w:hAnsi="宋体" w:cs="宋体"/>
          <w:szCs w:val="21"/>
        </w:rPr>
      </w:pPr>
      <w:r>
        <w:rPr>
          <w:rFonts w:hint="eastAsia" w:ascii="宋体" w:hAnsi="宋体" w:cs="宋体"/>
          <w:szCs w:val="21"/>
        </w:rPr>
        <w:t>（7）因发包人原因导致工期延误的其他情形：</w:t>
      </w:r>
      <w:r>
        <w:rPr>
          <w:rFonts w:hint="eastAsia" w:ascii="宋体" w:hAnsi="宋体" w:cs="宋体"/>
          <w:b/>
          <w:kern w:val="0"/>
          <w:szCs w:val="21"/>
          <w:u w:val="single"/>
        </w:rPr>
        <w:t>无</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7.5.2 因承包人原因导致工期延误</w:t>
      </w:r>
    </w:p>
    <w:p>
      <w:pPr>
        <w:ind w:firstLine="420" w:firstLineChars="200"/>
        <w:jc w:val="left"/>
        <w:rPr>
          <w:rFonts w:ascii="宋体" w:hAnsi="宋体" w:cs="宋体"/>
          <w:szCs w:val="21"/>
        </w:rPr>
      </w:pPr>
      <w:r>
        <w:rPr>
          <w:rFonts w:hint="eastAsia" w:ascii="宋体" w:hAnsi="宋体" w:cs="宋体"/>
          <w:szCs w:val="21"/>
        </w:rPr>
        <w:t>因承包人原因造成工期延误，逾期竣工违约金的计算方法为：</w:t>
      </w:r>
      <w:r>
        <w:rPr>
          <w:rFonts w:hint="eastAsia" w:ascii="宋体" w:hAnsi="宋体" w:cs="宋体"/>
          <w:b/>
          <w:szCs w:val="21"/>
          <w:u w:val="single"/>
        </w:rPr>
        <w:t>每逾期一天，承包人支付人民币3万元作为违约金，工程结算时发包人在工程款扣取</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因承包人原因造成工期延误，逾期竣工违约金的上限：</w:t>
      </w:r>
      <w:r>
        <w:rPr>
          <w:rFonts w:hint="eastAsia" w:ascii="宋体" w:hAnsi="宋体" w:cs="宋体"/>
          <w:b/>
          <w:szCs w:val="21"/>
          <w:u w:val="single"/>
        </w:rPr>
        <w:t>直扣至合同价款的百分之十为止</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7.6 不利物质条件</w:t>
      </w:r>
    </w:p>
    <w:p>
      <w:pPr>
        <w:ind w:firstLine="420" w:firstLineChars="200"/>
        <w:jc w:val="left"/>
        <w:rPr>
          <w:rFonts w:ascii="宋体" w:hAnsi="宋体" w:cs="宋体"/>
          <w:szCs w:val="21"/>
        </w:rPr>
      </w:pPr>
      <w:r>
        <w:rPr>
          <w:rFonts w:hint="eastAsia" w:ascii="宋体" w:hAnsi="宋体" w:cs="宋体"/>
          <w:szCs w:val="21"/>
        </w:rPr>
        <w:t>不利物质条件的其他情形和有关约定：</w:t>
      </w:r>
      <w:r>
        <w:rPr>
          <w:rFonts w:hint="eastAsia" w:ascii="宋体" w:hAnsi="宋体" w:cs="宋体"/>
          <w:b/>
          <w:kern w:val="0"/>
          <w:szCs w:val="21"/>
          <w:u w:val="single"/>
        </w:rPr>
        <w:t>无</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7.7异常恶劣的气候条件</w:t>
      </w:r>
    </w:p>
    <w:p>
      <w:pPr>
        <w:ind w:firstLine="420" w:firstLineChars="200"/>
        <w:jc w:val="left"/>
        <w:rPr>
          <w:rFonts w:ascii="宋体" w:hAnsi="宋体" w:cs="宋体"/>
          <w:szCs w:val="21"/>
        </w:rPr>
      </w:pPr>
      <w:r>
        <w:rPr>
          <w:rFonts w:hint="eastAsia" w:ascii="宋体" w:hAnsi="宋体" w:cs="宋体"/>
          <w:szCs w:val="21"/>
        </w:rPr>
        <w:t>发包人和承包人同意以下情形视为异常恶劣的气候条件：</w:t>
      </w:r>
    </w:p>
    <w:p>
      <w:pPr>
        <w:ind w:firstLine="420" w:firstLineChars="200"/>
        <w:jc w:val="left"/>
        <w:rPr>
          <w:rFonts w:ascii="宋体" w:hAnsi="宋体" w:cs="宋体"/>
          <w:szCs w:val="21"/>
        </w:rPr>
      </w:pPr>
      <w:r>
        <w:rPr>
          <w:rFonts w:hint="eastAsia" w:ascii="宋体" w:hAnsi="宋体" w:cs="宋体"/>
          <w:szCs w:val="21"/>
        </w:rPr>
        <w:t>（1）</w:t>
      </w:r>
      <w:r>
        <w:rPr>
          <w:rFonts w:hint="eastAsia" w:ascii="宋体" w:hAnsi="宋体" w:cs="宋体"/>
          <w:b/>
          <w:szCs w:val="21"/>
          <w:u w:val="single"/>
        </w:rPr>
        <w:t>国家或地区气象局发布的需要停止施工的其他情形</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（2）</w:t>
      </w:r>
      <w:r>
        <w:rPr>
          <w:rFonts w:hint="eastAsia" w:ascii="宋体" w:hAnsi="宋体" w:cs="宋体"/>
          <w:szCs w:val="21"/>
          <w:u w:val="single"/>
        </w:rPr>
        <w:t xml:space="preserve">                    /                       </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（3）</w:t>
      </w:r>
      <w:r>
        <w:rPr>
          <w:rFonts w:hint="eastAsia" w:ascii="宋体" w:hAnsi="宋体" w:cs="宋体"/>
          <w:szCs w:val="21"/>
          <w:u w:val="single"/>
        </w:rPr>
        <w:t xml:space="preserve">                    /                       </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7.9提前竣工的奖励</w:t>
      </w:r>
    </w:p>
    <w:p>
      <w:pPr>
        <w:ind w:firstLine="420" w:firstLineChars="200"/>
        <w:jc w:val="left"/>
        <w:rPr>
          <w:rFonts w:ascii="宋体" w:hAnsi="宋体" w:cs="宋体"/>
          <w:szCs w:val="21"/>
        </w:rPr>
      </w:pPr>
      <w:r>
        <w:rPr>
          <w:rFonts w:hint="eastAsia" w:ascii="宋体" w:hAnsi="宋体" w:cs="宋体"/>
          <w:szCs w:val="21"/>
        </w:rPr>
        <w:t>7.9.2提前竣工的奖励：</w:t>
      </w:r>
      <w:r>
        <w:rPr>
          <w:rFonts w:hint="eastAsia" w:ascii="宋体" w:hAnsi="宋体" w:cs="宋体"/>
          <w:b/>
          <w:kern w:val="0"/>
          <w:szCs w:val="21"/>
          <w:u w:val="single"/>
        </w:rPr>
        <w:t>无</w:t>
      </w:r>
      <w:r>
        <w:rPr>
          <w:rFonts w:hint="eastAsia" w:ascii="宋体" w:hAnsi="宋体" w:cs="宋体"/>
          <w:szCs w:val="21"/>
        </w:rPr>
        <w:t>。</w:t>
      </w:r>
    </w:p>
    <w:p>
      <w:pPr>
        <w:pStyle w:val="7"/>
        <w:tabs>
          <w:tab w:val="left" w:pos="864"/>
        </w:tabs>
        <w:ind w:hanging="862"/>
        <w:rPr>
          <w:rFonts w:ascii="宋体" w:hAnsi="宋体" w:cs="宋体"/>
          <w:bCs w:val="0"/>
          <w:sz w:val="21"/>
          <w:szCs w:val="21"/>
        </w:rPr>
      </w:pPr>
      <w:r>
        <w:rPr>
          <w:rFonts w:hint="eastAsia" w:ascii="宋体" w:hAnsi="宋体" w:cs="宋体"/>
          <w:bCs w:val="0"/>
          <w:sz w:val="21"/>
          <w:szCs w:val="21"/>
        </w:rPr>
        <w:t>8. 材料与设备</w:t>
      </w:r>
    </w:p>
    <w:p>
      <w:pPr>
        <w:ind w:firstLine="420" w:firstLineChars="200"/>
        <w:rPr>
          <w:rFonts w:ascii="宋体" w:hAnsi="宋体" w:cs="宋体"/>
          <w:b/>
          <w:szCs w:val="21"/>
        </w:rPr>
      </w:pPr>
      <w:r>
        <w:rPr>
          <w:rFonts w:hint="eastAsia" w:ascii="宋体" w:hAnsi="宋体" w:cs="宋体"/>
          <w:szCs w:val="21"/>
        </w:rPr>
        <w:t>8.2承包人采购材料与工程设备</w:t>
      </w:r>
    </w:p>
    <w:p>
      <w:pPr>
        <w:ind w:firstLine="420" w:firstLineChars="200"/>
        <w:rPr>
          <w:rFonts w:ascii="宋体" w:hAnsi="宋体" w:cs="宋体"/>
          <w:b/>
          <w:szCs w:val="21"/>
        </w:rPr>
      </w:pPr>
      <w:r>
        <w:rPr>
          <w:rFonts w:hint="eastAsia" w:ascii="宋体" w:hAnsi="宋体" w:cs="宋体"/>
          <w:szCs w:val="21"/>
        </w:rPr>
        <w:t>发包人指定的生产厂家或供应商</w:t>
      </w:r>
      <w:r>
        <w:rPr>
          <w:rFonts w:hint="eastAsia" w:ascii="宋体" w:hAnsi="宋体" w:cs="宋体"/>
          <w:kern w:val="0"/>
          <w:szCs w:val="21"/>
        </w:rPr>
        <w:t>：</w:t>
      </w:r>
      <w:r>
        <w:rPr>
          <w:rFonts w:hint="eastAsia" w:ascii="宋体" w:hAnsi="宋体" w:cs="宋体"/>
          <w:b/>
          <w:kern w:val="0"/>
          <w:szCs w:val="21"/>
          <w:u w:val="single"/>
        </w:rPr>
        <w:t>①承包人采购材料设备必须按工程量清单约定的建安材料采购使用，本工程所选用的材料必须符合质量要求，并带有合格证书，严禁以次充好。承包人每批次购进的材料，必须按设计、规范和建设行政主管部门的要求进行复验（送验）。复验结果属合格产品才能使用，并保存复验记录。如未经复验而用于工程，造成不良后果由承包人负责。发包人随时抽查和复验，若属合格产品，则重复的复验费由发包人承担，如复验结果属不合格产品，复验费用由承包人承担。②工程量清单材料表中列举的材料品牌为暂定牌子，发包人有权通过设计变更更改材料牌子、型号及规格，并按有关规定结算。材料设备须经监理工程师、发包人看样，审核资料合格并认可材料价格后，方可定货。</w:t>
      </w:r>
    </w:p>
    <w:p>
      <w:pPr>
        <w:ind w:firstLine="420" w:firstLineChars="200"/>
        <w:rPr>
          <w:rFonts w:ascii="宋体" w:hAnsi="宋体" w:cs="宋体"/>
          <w:szCs w:val="21"/>
        </w:rPr>
      </w:pPr>
      <w:r>
        <w:rPr>
          <w:rFonts w:hint="eastAsia" w:ascii="宋体" w:hAnsi="宋体" w:cs="宋体"/>
          <w:szCs w:val="21"/>
        </w:rPr>
        <w:t>8.4材料与工程设备的保管与使用</w:t>
      </w:r>
    </w:p>
    <w:p>
      <w:pPr>
        <w:ind w:firstLine="420" w:firstLineChars="200"/>
        <w:jc w:val="left"/>
        <w:rPr>
          <w:rFonts w:ascii="宋体" w:hAnsi="宋体" w:cs="宋体"/>
          <w:szCs w:val="21"/>
        </w:rPr>
      </w:pPr>
      <w:r>
        <w:rPr>
          <w:rFonts w:hint="eastAsia" w:ascii="宋体" w:hAnsi="宋体" w:cs="宋体"/>
          <w:szCs w:val="21"/>
        </w:rPr>
        <w:t>8.4.1发包人供应的材料设备的保管费用的承担：</w:t>
      </w:r>
      <w:r>
        <w:rPr>
          <w:rFonts w:hint="eastAsia" w:ascii="宋体" w:hAnsi="宋体" w:cs="宋体"/>
          <w:b/>
          <w:kern w:val="0"/>
          <w:szCs w:val="21"/>
          <w:u w:val="single"/>
        </w:rPr>
        <w:t>由承包人承担</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8.6 样品</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8.6.1样品的报送与封存</w:t>
      </w:r>
    </w:p>
    <w:p>
      <w:pPr>
        <w:autoSpaceDE w:val="0"/>
        <w:autoSpaceDN w:val="0"/>
        <w:adjustRightInd w:val="0"/>
        <w:ind w:firstLine="420" w:firstLineChars="200"/>
        <w:jc w:val="left"/>
        <w:rPr>
          <w:rFonts w:ascii="宋体" w:hAnsi="宋体" w:cs="宋体"/>
          <w:szCs w:val="21"/>
        </w:rPr>
      </w:pPr>
      <w:r>
        <w:rPr>
          <w:rFonts w:hint="eastAsia" w:ascii="宋体" w:hAnsi="宋体" w:cs="宋体"/>
          <w:kern w:val="0"/>
          <w:szCs w:val="21"/>
        </w:rPr>
        <w:t>需要承包人报送样品的材料或工程设备，样品的种类、名称、规格、数量要求：</w:t>
      </w:r>
      <w:r>
        <w:rPr>
          <w:rFonts w:hint="eastAsia" w:ascii="宋体" w:hAnsi="宋体" w:cs="宋体"/>
          <w:b/>
          <w:kern w:val="0"/>
          <w:szCs w:val="21"/>
          <w:u w:val="single"/>
        </w:rPr>
        <w:t>按管理部门及发包人要求确定</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8.8 施工设备和临时设施</w:t>
      </w:r>
    </w:p>
    <w:p>
      <w:pPr>
        <w:autoSpaceDE w:val="0"/>
        <w:autoSpaceDN w:val="0"/>
        <w:adjustRightInd w:val="0"/>
        <w:ind w:firstLine="420" w:firstLineChars="200"/>
        <w:jc w:val="left"/>
        <w:rPr>
          <w:rFonts w:ascii="宋体" w:hAnsi="宋体" w:cs="宋体"/>
          <w:szCs w:val="21"/>
        </w:rPr>
      </w:pPr>
      <w:r>
        <w:rPr>
          <w:rFonts w:hint="eastAsia" w:ascii="宋体" w:hAnsi="宋体" w:cs="宋体"/>
          <w:szCs w:val="21"/>
        </w:rPr>
        <w:t>8.8.1承包人提供的施工设备和临时设施：</w:t>
      </w:r>
    </w:p>
    <w:p>
      <w:pPr>
        <w:autoSpaceDE w:val="0"/>
        <w:autoSpaceDN w:val="0"/>
        <w:adjustRightInd w:val="0"/>
        <w:ind w:firstLine="420" w:firstLineChars="200"/>
        <w:jc w:val="left"/>
        <w:rPr>
          <w:rFonts w:ascii="宋体" w:hAnsi="宋体" w:cs="宋体"/>
          <w:szCs w:val="21"/>
        </w:rPr>
      </w:pPr>
      <w:r>
        <w:rPr>
          <w:rFonts w:hint="eastAsia" w:ascii="宋体" w:hAnsi="宋体" w:cs="宋体"/>
          <w:szCs w:val="21"/>
        </w:rPr>
        <w:t>关于修建临时设施费用承担的约定：</w:t>
      </w:r>
      <w:r>
        <w:rPr>
          <w:rFonts w:hint="eastAsia" w:ascii="宋体" w:hAnsi="宋体" w:cs="宋体"/>
          <w:b/>
          <w:kern w:val="0"/>
          <w:szCs w:val="21"/>
          <w:u w:val="single"/>
        </w:rPr>
        <w:t>由承包人承担</w:t>
      </w:r>
      <w:r>
        <w:rPr>
          <w:rFonts w:hint="eastAsia" w:ascii="宋体" w:hAnsi="宋体" w:cs="宋体"/>
          <w:szCs w:val="21"/>
        </w:rPr>
        <w:t>。</w:t>
      </w:r>
    </w:p>
    <w:p>
      <w:pPr>
        <w:pStyle w:val="7"/>
        <w:tabs>
          <w:tab w:val="left" w:pos="864"/>
        </w:tabs>
        <w:ind w:hanging="862"/>
        <w:rPr>
          <w:rFonts w:ascii="宋体" w:hAnsi="宋体" w:cs="宋体"/>
          <w:bCs w:val="0"/>
          <w:sz w:val="21"/>
          <w:szCs w:val="21"/>
        </w:rPr>
      </w:pPr>
      <w:r>
        <w:rPr>
          <w:rFonts w:hint="eastAsia" w:ascii="宋体" w:hAnsi="宋体" w:cs="宋体"/>
          <w:bCs w:val="0"/>
          <w:sz w:val="21"/>
          <w:szCs w:val="21"/>
        </w:rPr>
        <w:t>9. 试验与检验</w:t>
      </w:r>
    </w:p>
    <w:p>
      <w:pPr>
        <w:ind w:firstLine="420" w:firstLineChars="200"/>
        <w:rPr>
          <w:rFonts w:ascii="宋体" w:hAnsi="宋体" w:cs="宋体"/>
          <w:szCs w:val="21"/>
        </w:rPr>
      </w:pPr>
      <w:r>
        <w:rPr>
          <w:rFonts w:hint="eastAsia" w:ascii="宋体" w:hAnsi="宋体" w:cs="宋体"/>
          <w:szCs w:val="21"/>
        </w:rPr>
        <w:t>9.1试验设备与试验人员</w:t>
      </w:r>
    </w:p>
    <w:p>
      <w:pPr>
        <w:ind w:firstLine="420" w:firstLineChars="200"/>
        <w:jc w:val="left"/>
        <w:rPr>
          <w:rFonts w:ascii="宋体" w:hAnsi="宋体" w:cs="宋体"/>
          <w:szCs w:val="21"/>
        </w:rPr>
      </w:pPr>
      <w:r>
        <w:rPr>
          <w:rFonts w:hint="eastAsia" w:ascii="宋体" w:hAnsi="宋体" w:cs="宋体"/>
          <w:szCs w:val="21"/>
        </w:rPr>
        <w:t>9.1.2试验设备：</w:t>
      </w:r>
    </w:p>
    <w:p>
      <w:pPr>
        <w:ind w:firstLine="420" w:firstLineChars="200"/>
        <w:jc w:val="left"/>
        <w:rPr>
          <w:rFonts w:ascii="宋体" w:hAnsi="宋体" w:cs="宋体"/>
          <w:szCs w:val="21"/>
        </w:rPr>
      </w:pPr>
      <w:r>
        <w:rPr>
          <w:rFonts w:hint="eastAsia" w:ascii="宋体" w:hAnsi="宋体" w:cs="宋体"/>
          <w:szCs w:val="21"/>
        </w:rPr>
        <w:t>（1）施工现场需要配置的试验场所：</w:t>
      </w:r>
      <w:r>
        <w:rPr>
          <w:rFonts w:hint="eastAsia" w:ascii="宋体" w:hAnsi="宋体" w:cs="宋体"/>
          <w:b/>
          <w:kern w:val="0"/>
          <w:szCs w:val="21"/>
          <w:u w:val="single"/>
        </w:rPr>
        <w:t>按相关规定执行</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（2）施工现场需要配备的试验设备：</w:t>
      </w:r>
      <w:r>
        <w:rPr>
          <w:rFonts w:hint="eastAsia" w:ascii="宋体" w:hAnsi="宋体" w:cs="宋体"/>
          <w:b/>
          <w:kern w:val="0"/>
          <w:szCs w:val="21"/>
          <w:u w:val="single"/>
        </w:rPr>
        <w:t>按相关规定执行</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（3）施工现场需要具备的其他试验条件：</w:t>
      </w:r>
      <w:r>
        <w:rPr>
          <w:rFonts w:hint="eastAsia" w:ascii="宋体" w:hAnsi="宋体" w:cs="宋体"/>
          <w:b/>
          <w:kern w:val="0"/>
          <w:szCs w:val="21"/>
          <w:u w:val="single"/>
        </w:rPr>
        <w:t>按相关规定执行</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9.4 现场工艺试验</w:t>
      </w:r>
    </w:p>
    <w:p>
      <w:pPr>
        <w:ind w:firstLine="420" w:firstLineChars="200"/>
        <w:jc w:val="left"/>
        <w:rPr>
          <w:rFonts w:ascii="宋体" w:hAnsi="宋体" w:cs="宋体"/>
          <w:szCs w:val="21"/>
        </w:rPr>
      </w:pPr>
      <w:r>
        <w:rPr>
          <w:rFonts w:hint="eastAsia" w:ascii="宋体" w:hAnsi="宋体" w:cs="宋体"/>
          <w:szCs w:val="21"/>
        </w:rPr>
        <w:t>现场工艺试验的有关约定：</w:t>
      </w:r>
      <w:r>
        <w:rPr>
          <w:rFonts w:hint="eastAsia" w:ascii="宋体" w:hAnsi="宋体" w:cs="宋体"/>
          <w:b/>
          <w:kern w:val="0"/>
          <w:szCs w:val="21"/>
          <w:u w:val="single"/>
        </w:rPr>
        <w:t xml:space="preserve">  /   </w:t>
      </w:r>
      <w:r>
        <w:rPr>
          <w:rFonts w:hint="eastAsia" w:ascii="宋体" w:hAnsi="宋体" w:cs="宋体"/>
          <w:szCs w:val="21"/>
        </w:rPr>
        <w:t>。</w:t>
      </w:r>
    </w:p>
    <w:p>
      <w:pPr>
        <w:pStyle w:val="7"/>
        <w:tabs>
          <w:tab w:val="left" w:pos="864"/>
        </w:tabs>
        <w:ind w:hanging="862"/>
        <w:rPr>
          <w:rFonts w:ascii="宋体" w:hAnsi="宋体" w:cs="宋体"/>
          <w:bCs w:val="0"/>
          <w:sz w:val="21"/>
          <w:szCs w:val="21"/>
        </w:rPr>
      </w:pPr>
      <w:r>
        <w:rPr>
          <w:rFonts w:hint="eastAsia" w:ascii="宋体" w:hAnsi="宋体" w:cs="宋体"/>
          <w:bCs w:val="0"/>
          <w:sz w:val="21"/>
          <w:szCs w:val="21"/>
        </w:rPr>
        <w:t>10. 变更</w:t>
      </w:r>
    </w:p>
    <w:p>
      <w:pPr>
        <w:ind w:firstLine="420" w:firstLineChars="200"/>
        <w:rPr>
          <w:rFonts w:ascii="宋体" w:hAnsi="宋体" w:cs="宋体"/>
          <w:szCs w:val="21"/>
        </w:rPr>
      </w:pPr>
      <w:r>
        <w:rPr>
          <w:rFonts w:hint="eastAsia" w:ascii="宋体" w:hAnsi="宋体" w:cs="宋体"/>
          <w:szCs w:val="21"/>
        </w:rPr>
        <w:t>10.1变更的范围</w:t>
      </w:r>
    </w:p>
    <w:p>
      <w:pPr>
        <w:ind w:firstLine="420" w:firstLineChars="200"/>
        <w:jc w:val="left"/>
        <w:rPr>
          <w:rFonts w:ascii="宋体" w:hAnsi="宋体" w:cs="宋体"/>
          <w:szCs w:val="21"/>
        </w:rPr>
      </w:pPr>
      <w:r>
        <w:rPr>
          <w:rFonts w:hint="eastAsia" w:ascii="宋体" w:hAnsi="宋体" w:cs="宋体"/>
          <w:szCs w:val="21"/>
        </w:rPr>
        <w:t>关于变更的范围的约定：</w:t>
      </w:r>
      <w:r>
        <w:rPr>
          <w:rFonts w:hint="eastAsia" w:ascii="宋体" w:hAnsi="宋体" w:cs="宋体"/>
          <w:b/>
          <w:kern w:val="0"/>
          <w:szCs w:val="21"/>
          <w:u w:val="single"/>
        </w:rPr>
        <w:t>依据茂名市政府财政投资项目相关管理规定执行</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10.4 变更估价</w:t>
      </w:r>
    </w:p>
    <w:p>
      <w:pPr>
        <w:ind w:firstLine="420" w:firstLineChars="200"/>
        <w:jc w:val="left"/>
        <w:rPr>
          <w:rFonts w:ascii="宋体" w:hAnsi="宋体" w:cs="宋体"/>
          <w:szCs w:val="21"/>
        </w:rPr>
      </w:pPr>
      <w:r>
        <w:rPr>
          <w:rFonts w:hint="eastAsia" w:ascii="宋体" w:hAnsi="宋体" w:cs="宋体"/>
          <w:szCs w:val="21"/>
        </w:rPr>
        <w:t>10.4.1变更估价原则</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szCs w:val="21"/>
          <w:u w:val="single"/>
        </w:rPr>
      </w:pPr>
      <w:r>
        <w:rPr>
          <w:rFonts w:hint="eastAsia" w:ascii="宋体" w:hAnsi="宋体" w:cs="宋体"/>
          <w:szCs w:val="21"/>
        </w:rPr>
        <w:t xml:space="preserve">关于变更估价的约定: </w:t>
      </w:r>
      <w:r>
        <w:rPr>
          <w:rFonts w:hint="eastAsia" w:ascii="宋体" w:hAnsi="宋体" w:cs="宋体"/>
          <w:b/>
          <w:kern w:val="0"/>
          <w:szCs w:val="21"/>
          <w:u w:val="single"/>
        </w:rPr>
        <w:t>施工图纸范围以内或图纸范围以外，若由于非承包人原因确需的设计变更、增减工程量或工程量清单中的材料规格、品牌等改变，已标价工程量清单或者招标控制价中已有适用于变更工程的单价或总价，按已标价工程量清单或者招标控制价已有的价格调整；已标价工程量清单或者招标控制价中只有类似于变更工程的单价或总价，可以参照类似价格调整；已标价工程量清单或者招标控制价中没有适用或类似于变更工程的单价或总价，由承包人依据变更工程内容、按现行定额计量规则和计价办法、套用工程造价管理机构发布的同期建设信息材料价格与承包人投标报价的浮动率，提出变更工程内容单价或总价经监理人、发包人及</w:t>
      </w:r>
      <w:r>
        <w:rPr>
          <w:rFonts w:hint="eastAsia" w:ascii="宋体" w:hAnsi="宋体" w:cs="宋体"/>
          <w:b/>
          <w:bCs/>
          <w:szCs w:val="21"/>
          <w:u w:val="single"/>
        </w:rPr>
        <w:t>第三方审核单位</w:t>
      </w:r>
      <w:r>
        <w:rPr>
          <w:rFonts w:hint="eastAsia" w:ascii="宋体" w:hAnsi="宋体" w:cs="宋体"/>
          <w:b/>
          <w:kern w:val="0"/>
          <w:szCs w:val="21"/>
          <w:u w:val="single"/>
        </w:rPr>
        <w:t>三方共同确认后进行调整。【承包人报价浮动率=（中标价格/招标控制价）×100%】信息价没有套用工程造价管理机构发布的同期建设信息材料价格的，有承包人提出咨询价要求后，根据发包人的定价制度调整</w:t>
      </w:r>
      <w:r>
        <w:rPr>
          <w:rFonts w:hint="eastAsia" w:ascii="宋体" w:hAnsi="宋体" w:cs="宋体"/>
          <w:szCs w:val="21"/>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szCs w:val="21"/>
        </w:rPr>
      </w:pPr>
      <w:r>
        <w:rPr>
          <w:rFonts w:hint="eastAsia" w:ascii="宋体" w:hAnsi="宋体" w:cs="宋体"/>
          <w:szCs w:val="21"/>
        </w:rPr>
        <w:t>10.5承包人的合理化建议</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szCs w:val="21"/>
        </w:rPr>
      </w:pPr>
      <w:r>
        <w:rPr>
          <w:rFonts w:hint="eastAsia" w:ascii="宋体" w:hAnsi="宋体" w:cs="宋体"/>
          <w:szCs w:val="21"/>
        </w:rPr>
        <w:t>监理人审查承包人合理化建议的期限：</w:t>
      </w:r>
      <w:r>
        <w:rPr>
          <w:rFonts w:hint="eastAsia" w:ascii="宋体" w:hAnsi="宋体" w:cs="宋体"/>
          <w:b/>
          <w:kern w:val="0"/>
          <w:szCs w:val="21"/>
          <w:u w:val="single"/>
        </w:rPr>
        <w:t xml:space="preserve">  /   </w:t>
      </w:r>
      <w:r>
        <w:rPr>
          <w:rFonts w:hint="eastAsia" w:ascii="宋体" w:hAnsi="宋体" w:cs="宋体"/>
          <w:szCs w:val="21"/>
        </w:rPr>
        <w:t>。</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szCs w:val="21"/>
        </w:rPr>
      </w:pPr>
      <w:r>
        <w:rPr>
          <w:rFonts w:hint="eastAsia" w:ascii="宋体" w:hAnsi="宋体" w:cs="宋体"/>
          <w:szCs w:val="21"/>
        </w:rPr>
        <w:t>发包人审批承包人合理化建议的期限：</w:t>
      </w:r>
      <w:r>
        <w:rPr>
          <w:rFonts w:hint="eastAsia" w:ascii="宋体" w:hAnsi="宋体" w:cs="宋体"/>
          <w:b/>
          <w:kern w:val="0"/>
          <w:szCs w:val="21"/>
          <w:u w:val="single"/>
        </w:rPr>
        <w:t xml:space="preserve">  /   </w:t>
      </w:r>
      <w:r>
        <w:rPr>
          <w:rFonts w:hint="eastAsia" w:ascii="宋体" w:hAnsi="宋体" w:cs="宋体"/>
          <w:szCs w:val="21"/>
        </w:rPr>
        <w:t>。</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宋体" w:hAnsi="宋体" w:cs="宋体"/>
          <w:szCs w:val="21"/>
        </w:rPr>
      </w:pPr>
      <w:r>
        <w:rPr>
          <w:rFonts w:hint="eastAsia" w:ascii="宋体" w:hAnsi="宋体" w:cs="宋体"/>
          <w:szCs w:val="21"/>
        </w:rPr>
        <w:t>承包人提出的合理化建议降低了合同价格或者提高了工程经济效益的奖励的方法和金额为：</w:t>
      </w:r>
      <w:r>
        <w:rPr>
          <w:rFonts w:hint="eastAsia" w:ascii="宋体" w:hAnsi="宋体" w:cs="宋体"/>
          <w:b/>
          <w:kern w:val="0"/>
          <w:szCs w:val="21"/>
          <w:u w:val="single"/>
        </w:rPr>
        <w:t>无</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10.7 暂估价</w:t>
      </w:r>
    </w:p>
    <w:p>
      <w:pPr>
        <w:ind w:firstLine="420" w:firstLineChars="200"/>
        <w:jc w:val="left"/>
        <w:rPr>
          <w:rFonts w:ascii="宋体" w:hAnsi="宋体" w:cs="宋体"/>
          <w:szCs w:val="21"/>
        </w:rPr>
      </w:pPr>
      <w:r>
        <w:rPr>
          <w:rFonts w:hint="eastAsia" w:ascii="宋体" w:hAnsi="宋体" w:cs="宋体"/>
          <w:kern w:val="0"/>
          <w:szCs w:val="21"/>
        </w:rPr>
        <w:t>暂估价材料和工程设备的明细详见附件11：《</w:t>
      </w:r>
      <w:r>
        <w:rPr>
          <w:rFonts w:hint="eastAsia" w:ascii="宋体" w:hAnsi="宋体" w:cs="宋体"/>
          <w:szCs w:val="21"/>
        </w:rPr>
        <w:t>暂估价一览表》</w:t>
      </w:r>
      <w:r>
        <w:rPr>
          <w:rFonts w:hint="eastAsia" w:ascii="宋体" w:hAnsi="宋体" w:cs="宋体"/>
          <w:kern w:val="0"/>
          <w:szCs w:val="21"/>
        </w:rPr>
        <w:t>。</w:t>
      </w:r>
    </w:p>
    <w:p>
      <w:pPr>
        <w:ind w:firstLine="420" w:firstLineChars="200"/>
        <w:jc w:val="left"/>
        <w:rPr>
          <w:rFonts w:ascii="宋体" w:hAnsi="宋体" w:cs="宋体"/>
          <w:szCs w:val="21"/>
        </w:rPr>
      </w:pPr>
      <w:r>
        <w:rPr>
          <w:rFonts w:hint="eastAsia" w:ascii="宋体" w:hAnsi="宋体" w:cs="宋体"/>
          <w:szCs w:val="21"/>
        </w:rPr>
        <w:t>10.7.1 依法必须招标的暂估价项目</w:t>
      </w:r>
    </w:p>
    <w:p>
      <w:pPr>
        <w:ind w:firstLine="420" w:firstLineChars="200"/>
        <w:jc w:val="left"/>
        <w:rPr>
          <w:rFonts w:ascii="宋体" w:hAnsi="宋体" w:cs="宋体"/>
          <w:szCs w:val="21"/>
        </w:rPr>
      </w:pPr>
      <w:r>
        <w:rPr>
          <w:rFonts w:hint="eastAsia" w:ascii="宋体" w:hAnsi="宋体" w:cs="宋体"/>
          <w:szCs w:val="21"/>
        </w:rPr>
        <w:t>对于依法必须招标的暂估价项目的确认和批准采取第</w:t>
      </w:r>
      <w:r>
        <w:rPr>
          <w:rFonts w:hint="eastAsia" w:ascii="宋体" w:hAnsi="宋体" w:cs="宋体"/>
          <w:b/>
          <w:kern w:val="0"/>
          <w:szCs w:val="21"/>
          <w:u w:val="single"/>
        </w:rPr>
        <w:t>2</w:t>
      </w:r>
      <w:r>
        <w:rPr>
          <w:rFonts w:hint="eastAsia" w:ascii="宋体" w:hAnsi="宋体" w:cs="宋体"/>
          <w:szCs w:val="21"/>
        </w:rPr>
        <w:t>种方式确定。</w:t>
      </w:r>
    </w:p>
    <w:p>
      <w:pPr>
        <w:ind w:firstLine="420" w:firstLineChars="200"/>
        <w:jc w:val="left"/>
        <w:rPr>
          <w:rFonts w:ascii="宋体" w:hAnsi="宋体" w:cs="宋体"/>
          <w:szCs w:val="21"/>
        </w:rPr>
      </w:pPr>
      <w:r>
        <w:rPr>
          <w:rFonts w:hint="eastAsia" w:ascii="宋体" w:hAnsi="宋体" w:cs="宋体"/>
          <w:szCs w:val="21"/>
        </w:rPr>
        <w:t>10.2.2 不属于依法必须招标的暂估价项目</w:t>
      </w:r>
    </w:p>
    <w:p>
      <w:pPr>
        <w:ind w:firstLine="420" w:firstLineChars="200"/>
        <w:jc w:val="left"/>
        <w:rPr>
          <w:rFonts w:ascii="宋体" w:hAnsi="宋体" w:cs="宋体"/>
          <w:szCs w:val="21"/>
        </w:rPr>
      </w:pPr>
      <w:r>
        <w:rPr>
          <w:rFonts w:hint="eastAsia" w:ascii="宋体" w:hAnsi="宋体" w:cs="宋体"/>
          <w:szCs w:val="21"/>
        </w:rPr>
        <w:t>对于不属于依法必须招标的暂估价项目的确认和批准采取第</w:t>
      </w:r>
      <w:r>
        <w:rPr>
          <w:rFonts w:hint="eastAsia" w:ascii="宋体" w:hAnsi="宋体" w:cs="宋体"/>
          <w:b/>
          <w:kern w:val="0"/>
          <w:szCs w:val="21"/>
          <w:u w:val="single"/>
        </w:rPr>
        <w:t>1</w:t>
      </w:r>
      <w:r>
        <w:rPr>
          <w:rFonts w:hint="eastAsia" w:ascii="宋体" w:hAnsi="宋体" w:cs="宋体"/>
          <w:szCs w:val="21"/>
        </w:rPr>
        <w:t>种方式确定。</w:t>
      </w:r>
    </w:p>
    <w:p>
      <w:pPr>
        <w:ind w:firstLine="420" w:firstLineChars="200"/>
        <w:jc w:val="left"/>
        <w:rPr>
          <w:rFonts w:ascii="宋体" w:hAnsi="宋体" w:cs="宋体"/>
          <w:szCs w:val="21"/>
        </w:rPr>
      </w:pPr>
      <w:r>
        <w:rPr>
          <w:rFonts w:hint="eastAsia" w:ascii="宋体" w:hAnsi="宋体" w:cs="宋体"/>
          <w:szCs w:val="21"/>
        </w:rPr>
        <w:t>第1种方式：对于不属于依法必须招标的暂估价项目，按本项约定确认和批准：</w:t>
      </w:r>
    </w:p>
    <w:p>
      <w:pPr>
        <w:ind w:firstLine="420" w:firstLineChars="200"/>
        <w:jc w:val="left"/>
        <w:rPr>
          <w:rFonts w:ascii="宋体" w:hAnsi="宋体" w:cs="宋体"/>
          <w:szCs w:val="21"/>
        </w:rPr>
      </w:pPr>
      <w:r>
        <w:rPr>
          <w:rFonts w:hint="eastAsia" w:ascii="宋体" w:hAnsi="宋体" w:cs="宋体"/>
          <w:szCs w:val="21"/>
        </w:rPr>
        <w:t>（1）承包人应根据施工进度计划，在签订暂估价项目的采购合同、分包合同前28天向监理人提出书面申请。监理人应当在收到申请后3天内报送发包人，发包人应当在收到申请后14天内给予批准或提出修改意见，发包人逾期未予批准或提出修改意见的，视为该书面申请已获得同意；</w:t>
      </w:r>
    </w:p>
    <w:p>
      <w:pPr>
        <w:ind w:firstLine="420" w:firstLineChars="200"/>
        <w:jc w:val="left"/>
        <w:rPr>
          <w:rFonts w:ascii="宋体" w:hAnsi="宋体" w:cs="宋体"/>
          <w:szCs w:val="21"/>
        </w:rPr>
      </w:pPr>
      <w:r>
        <w:rPr>
          <w:rFonts w:hint="eastAsia" w:ascii="宋体" w:hAnsi="宋体" w:cs="宋体"/>
          <w:szCs w:val="21"/>
        </w:rPr>
        <w:t>（2）发包人认为承包人确定的供应商、分包人无法满足工程质量或合同要求的，发包人可以要求承包人重新确定暂估价项目的供应商、分包人;</w:t>
      </w:r>
    </w:p>
    <w:p>
      <w:pPr>
        <w:ind w:firstLine="420" w:firstLineChars="200"/>
        <w:jc w:val="left"/>
        <w:rPr>
          <w:rFonts w:ascii="宋体" w:hAnsi="宋体" w:cs="宋体"/>
          <w:szCs w:val="21"/>
        </w:rPr>
      </w:pPr>
      <w:r>
        <w:rPr>
          <w:rFonts w:hint="eastAsia" w:ascii="宋体" w:hAnsi="宋体" w:cs="宋体"/>
          <w:szCs w:val="21"/>
        </w:rPr>
        <w:t>（3）承包人应当在签订暂估价合同后7天内，将暂估价合同副本报送发包人留存。</w:t>
      </w:r>
    </w:p>
    <w:p>
      <w:pPr>
        <w:ind w:firstLine="420" w:firstLineChars="200"/>
        <w:jc w:val="left"/>
        <w:rPr>
          <w:rFonts w:ascii="宋体" w:hAnsi="宋体" w:cs="宋体"/>
          <w:szCs w:val="21"/>
        </w:rPr>
      </w:pPr>
      <w:r>
        <w:rPr>
          <w:rFonts w:hint="eastAsia" w:ascii="宋体" w:hAnsi="宋体" w:cs="宋体"/>
          <w:szCs w:val="21"/>
        </w:rPr>
        <w:t>第2种方式：承包人按照第10.7.1项〔依法必须招标的暂估价项目〕约定的第1种方式确定暂估价项目。</w:t>
      </w:r>
    </w:p>
    <w:p>
      <w:pPr>
        <w:ind w:firstLine="420" w:firstLineChars="200"/>
        <w:jc w:val="left"/>
        <w:rPr>
          <w:rFonts w:ascii="宋体" w:hAnsi="宋体" w:cs="宋体"/>
          <w:kern w:val="0"/>
          <w:szCs w:val="21"/>
        </w:rPr>
      </w:pPr>
      <w:r>
        <w:rPr>
          <w:rFonts w:hint="eastAsia" w:ascii="宋体" w:hAnsi="宋体" w:cs="宋体"/>
          <w:szCs w:val="21"/>
        </w:rPr>
        <w:t>第3种方式：</w:t>
      </w:r>
      <w:r>
        <w:rPr>
          <w:rFonts w:hint="eastAsia" w:ascii="宋体" w:hAnsi="宋体" w:cs="宋体"/>
          <w:kern w:val="0"/>
          <w:szCs w:val="21"/>
        </w:rPr>
        <w:t>承包人直接实施的暂估价项目</w:t>
      </w:r>
    </w:p>
    <w:p>
      <w:pPr>
        <w:ind w:firstLine="420" w:firstLineChars="200"/>
        <w:jc w:val="left"/>
        <w:rPr>
          <w:rFonts w:ascii="宋体" w:hAnsi="宋体" w:cs="宋体"/>
          <w:szCs w:val="21"/>
        </w:rPr>
      </w:pPr>
      <w:r>
        <w:rPr>
          <w:rFonts w:hint="eastAsia" w:ascii="宋体" w:hAnsi="宋体" w:cs="宋体"/>
          <w:szCs w:val="21"/>
        </w:rPr>
        <w:t>承包人直接实施的暂估价项目的约定：</w:t>
      </w:r>
      <w:r>
        <w:rPr>
          <w:rFonts w:hint="eastAsia" w:ascii="宋体" w:hAnsi="宋体" w:cs="宋体"/>
          <w:b/>
          <w:kern w:val="0"/>
          <w:szCs w:val="21"/>
          <w:u w:val="single"/>
        </w:rPr>
        <w:t xml:space="preserve"> / </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10.8 暂列金额</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合同当事人关于暂列金额使用的约定：</w:t>
      </w:r>
      <w:r>
        <w:rPr>
          <w:rFonts w:hint="eastAsia" w:ascii="宋体" w:hAnsi="宋体" w:cs="宋体"/>
          <w:b/>
          <w:kern w:val="0"/>
          <w:szCs w:val="21"/>
          <w:u w:val="single"/>
        </w:rPr>
        <w:t xml:space="preserve">  /      </w:t>
      </w:r>
      <w:r>
        <w:rPr>
          <w:rFonts w:hint="eastAsia" w:ascii="宋体" w:hAnsi="宋体" w:cs="宋体"/>
          <w:kern w:val="0"/>
          <w:szCs w:val="21"/>
        </w:rPr>
        <w:t>。</w:t>
      </w:r>
    </w:p>
    <w:p>
      <w:pPr>
        <w:pStyle w:val="7"/>
        <w:tabs>
          <w:tab w:val="left" w:pos="864"/>
        </w:tabs>
        <w:ind w:hanging="862"/>
        <w:rPr>
          <w:rFonts w:ascii="宋体" w:hAnsi="宋体" w:cs="宋体"/>
          <w:bCs w:val="0"/>
          <w:sz w:val="21"/>
          <w:szCs w:val="21"/>
        </w:rPr>
      </w:pPr>
      <w:r>
        <w:rPr>
          <w:rFonts w:hint="eastAsia" w:ascii="宋体" w:hAnsi="宋体" w:cs="宋体"/>
          <w:bCs w:val="0"/>
          <w:sz w:val="21"/>
          <w:szCs w:val="21"/>
        </w:rPr>
        <w:t>11. 价格调整</w:t>
      </w:r>
    </w:p>
    <w:p>
      <w:pPr>
        <w:ind w:firstLine="420" w:firstLineChars="200"/>
        <w:rPr>
          <w:rFonts w:ascii="宋体" w:hAnsi="宋体" w:cs="宋体"/>
          <w:szCs w:val="21"/>
        </w:rPr>
      </w:pPr>
      <w:r>
        <w:rPr>
          <w:rFonts w:hint="eastAsia" w:ascii="宋体" w:hAnsi="宋体" w:cs="宋体"/>
          <w:szCs w:val="21"/>
        </w:rPr>
        <w:t>11.1 市场价格波动引起的调整</w:t>
      </w:r>
    </w:p>
    <w:p>
      <w:pPr>
        <w:ind w:firstLine="420" w:firstLineChars="200"/>
        <w:jc w:val="left"/>
        <w:rPr>
          <w:rFonts w:ascii="宋体" w:hAnsi="宋体" w:cs="宋体"/>
          <w:szCs w:val="21"/>
        </w:rPr>
      </w:pPr>
      <w:r>
        <w:rPr>
          <w:rFonts w:hint="eastAsia" w:ascii="宋体" w:hAnsi="宋体" w:cs="宋体"/>
          <w:kern w:val="0"/>
          <w:szCs w:val="21"/>
        </w:rPr>
        <w:t>市场价格波动是否调整合同价格的约定：</w:t>
      </w:r>
      <w:r>
        <w:rPr>
          <w:rFonts w:hint="eastAsia" w:ascii="宋体" w:hAnsi="宋体" w:cs="宋体"/>
          <w:b/>
          <w:kern w:val="0"/>
          <w:szCs w:val="21"/>
          <w:u w:val="single"/>
        </w:rPr>
        <w:t>不调整</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因市场价格波动调整合同价格，采用以下第</w:t>
      </w:r>
      <w:r>
        <w:rPr>
          <w:rFonts w:hint="eastAsia" w:ascii="宋体" w:hAnsi="宋体" w:cs="宋体"/>
          <w:b/>
          <w:kern w:val="0"/>
          <w:szCs w:val="21"/>
          <w:u w:val="single"/>
        </w:rPr>
        <w:t>/</w:t>
      </w:r>
      <w:r>
        <w:rPr>
          <w:rFonts w:hint="eastAsia" w:ascii="宋体" w:hAnsi="宋体" w:cs="宋体"/>
          <w:szCs w:val="21"/>
        </w:rPr>
        <w:t>种方式对合同价格进行调整：</w:t>
      </w:r>
    </w:p>
    <w:p>
      <w:pPr>
        <w:ind w:firstLine="420" w:firstLineChars="200"/>
        <w:jc w:val="left"/>
        <w:rPr>
          <w:rFonts w:ascii="宋体" w:hAnsi="宋体" w:cs="宋体"/>
          <w:szCs w:val="21"/>
        </w:rPr>
      </w:pPr>
      <w:r>
        <w:rPr>
          <w:rFonts w:hint="eastAsia" w:ascii="宋体" w:hAnsi="宋体" w:cs="宋体"/>
          <w:szCs w:val="21"/>
        </w:rPr>
        <w:t>第1种方式：采用价格指数进行价格调整。</w:t>
      </w:r>
    </w:p>
    <w:p>
      <w:pPr>
        <w:ind w:firstLine="420" w:firstLineChars="200"/>
        <w:jc w:val="left"/>
        <w:rPr>
          <w:rFonts w:ascii="宋体" w:hAnsi="宋体" w:cs="宋体"/>
          <w:szCs w:val="21"/>
          <w:u w:val="single"/>
        </w:rPr>
      </w:pPr>
      <w:r>
        <w:rPr>
          <w:rFonts w:hint="eastAsia" w:ascii="宋体" w:hAnsi="宋体" w:cs="宋体"/>
          <w:szCs w:val="21"/>
        </w:rPr>
        <w:t>关于各可调因子、定值和变值权重，以及基本价格指数及其来源的约定：</w:t>
      </w:r>
      <w:r>
        <w:rPr>
          <w:rFonts w:hint="eastAsia" w:ascii="宋体" w:hAnsi="宋体" w:cs="宋体"/>
          <w:b/>
          <w:kern w:val="0"/>
          <w:szCs w:val="21"/>
          <w:u w:val="single"/>
        </w:rPr>
        <w:t>无</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第2种方式：采用造价信息进行价格调整。</w:t>
      </w:r>
    </w:p>
    <w:p>
      <w:pPr>
        <w:ind w:firstLine="420" w:firstLineChars="200"/>
        <w:jc w:val="left"/>
        <w:rPr>
          <w:rFonts w:ascii="宋体" w:hAnsi="宋体" w:cs="宋体"/>
          <w:szCs w:val="21"/>
        </w:rPr>
      </w:pPr>
      <w:r>
        <w:rPr>
          <w:rFonts w:hint="eastAsia" w:ascii="宋体" w:hAnsi="宋体" w:cs="宋体"/>
          <w:szCs w:val="21"/>
        </w:rPr>
        <w:t>（2）关于基准价格的约定：</w:t>
      </w:r>
      <w:r>
        <w:rPr>
          <w:rFonts w:hint="eastAsia" w:ascii="宋体" w:hAnsi="宋体" w:cs="宋体"/>
          <w:b/>
          <w:kern w:val="0"/>
          <w:szCs w:val="21"/>
          <w:u w:val="single"/>
        </w:rPr>
        <w:t xml:space="preserve">/ </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专用合同条款①承包人在已标价工程量清单或预算书中载明的材料单价低于基准价格的：专用合同条款合同履行期间材料单价涨幅以基准价格为基础超过</w:t>
      </w:r>
      <w:r>
        <w:rPr>
          <w:rFonts w:hint="eastAsia" w:ascii="宋体" w:hAnsi="宋体" w:cs="宋体"/>
          <w:b/>
          <w:kern w:val="0"/>
          <w:szCs w:val="21"/>
          <w:u w:val="single"/>
        </w:rPr>
        <w:t>无</w:t>
      </w:r>
      <w:r>
        <w:rPr>
          <w:rFonts w:hint="eastAsia" w:ascii="宋体" w:hAnsi="宋体" w:cs="宋体"/>
          <w:b/>
          <w:szCs w:val="21"/>
          <w:u w:val="single"/>
        </w:rPr>
        <w:t>%</w:t>
      </w:r>
      <w:r>
        <w:rPr>
          <w:rFonts w:hint="eastAsia" w:ascii="宋体" w:hAnsi="宋体" w:cs="宋体"/>
          <w:szCs w:val="21"/>
        </w:rPr>
        <w:t>时，或材料单价跌幅以已标价工程量清单或预算书中载明材料单价为基础超过</w:t>
      </w:r>
      <w:r>
        <w:rPr>
          <w:rFonts w:hint="eastAsia" w:ascii="宋体" w:hAnsi="宋体" w:cs="宋体"/>
          <w:b/>
          <w:kern w:val="0"/>
          <w:szCs w:val="21"/>
          <w:u w:val="single"/>
        </w:rPr>
        <w:t>无</w:t>
      </w:r>
      <w:r>
        <w:rPr>
          <w:rFonts w:hint="eastAsia" w:ascii="宋体" w:hAnsi="宋体" w:cs="宋体"/>
          <w:b/>
          <w:szCs w:val="21"/>
          <w:u w:val="single"/>
        </w:rPr>
        <w:t>%</w:t>
      </w:r>
      <w:r>
        <w:rPr>
          <w:rFonts w:hint="eastAsia" w:ascii="宋体" w:hAnsi="宋体" w:cs="宋体"/>
          <w:szCs w:val="21"/>
        </w:rPr>
        <w:t>时，其超过部分据实调整。</w:t>
      </w:r>
    </w:p>
    <w:p>
      <w:pPr>
        <w:ind w:firstLine="420" w:firstLineChars="200"/>
        <w:jc w:val="left"/>
        <w:rPr>
          <w:rFonts w:ascii="宋体" w:hAnsi="宋体" w:cs="宋体"/>
          <w:szCs w:val="21"/>
        </w:rPr>
      </w:pPr>
      <w:r>
        <w:rPr>
          <w:rFonts w:hint="eastAsia" w:ascii="宋体" w:hAnsi="宋体" w:cs="宋体"/>
          <w:szCs w:val="21"/>
        </w:rPr>
        <w:t>②承包人在已标价工程量清单或预算书中载明的材料单价高于基准价格的：专用合同条款合同履行期间材料单价跌幅以基准价格为基础超过</w:t>
      </w:r>
      <w:r>
        <w:rPr>
          <w:rFonts w:hint="eastAsia" w:ascii="宋体" w:hAnsi="宋体" w:cs="宋体"/>
          <w:b/>
          <w:kern w:val="0"/>
          <w:szCs w:val="21"/>
          <w:u w:val="single"/>
        </w:rPr>
        <w:t>无</w:t>
      </w:r>
      <w:r>
        <w:rPr>
          <w:rFonts w:hint="eastAsia" w:ascii="宋体" w:hAnsi="宋体" w:cs="宋体"/>
          <w:b/>
          <w:szCs w:val="21"/>
          <w:u w:val="single"/>
        </w:rPr>
        <w:t>%</w:t>
      </w:r>
      <w:r>
        <w:rPr>
          <w:rFonts w:hint="eastAsia" w:ascii="宋体" w:hAnsi="宋体" w:cs="宋体"/>
          <w:szCs w:val="21"/>
        </w:rPr>
        <w:t>时，材料单价涨幅以已标价工程量清单或预算书中载明材料单价为基础超过</w:t>
      </w:r>
      <w:r>
        <w:rPr>
          <w:rFonts w:hint="eastAsia" w:ascii="宋体" w:hAnsi="宋体" w:cs="宋体"/>
          <w:b/>
          <w:kern w:val="0"/>
          <w:szCs w:val="21"/>
          <w:u w:val="single"/>
        </w:rPr>
        <w:t>无</w:t>
      </w:r>
      <w:r>
        <w:rPr>
          <w:rFonts w:hint="eastAsia" w:ascii="宋体" w:hAnsi="宋体" w:cs="宋体"/>
          <w:b/>
          <w:szCs w:val="21"/>
          <w:u w:val="single"/>
        </w:rPr>
        <w:t>%</w:t>
      </w:r>
      <w:r>
        <w:rPr>
          <w:rFonts w:hint="eastAsia" w:ascii="宋体" w:hAnsi="宋体" w:cs="宋体"/>
          <w:szCs w:val="21"/>
        </w:rPr>
        <w:t>时，其超过部分据实调整。</w:t>
      </w:r>
    </w:p>
    <w:p>
      <w:pPr>
        <w:ind w:firstLine="645"/>
        <w:jc w:val="left"/>
        <w:rPr>
          <w:rFonts w:ascii="宋体" w:hAnsi="宋体" w:cs="宋体"/>
          <w:szCs w:val="21"/>
        </w:rPr>
      </w:pPr>
      <w:r>
        <w:rPr>
          <w:rFonts w:hint="eastAsia" w:ascii="宋体" w:hAnsi="宋体" w:cs="宋体"/>
          <w:szCs w:val="21"/>
        </w:rPr>
        <w:t>③承包人在已标价工程量清单或预算书中载明的材料单价等于基准单价的：专用合同条款合同履行期间材料单价涨跌幅以基准单价为基础超过±</w:t>
      </w:r>
      <w:r>
        <w:rPr>
          <w:rFonts w:hint="eastAsia" w:ascii="宋体" w:hAnsi="宋体" w:cs="宋体"/>
          <w:b/>
          <w:kern w:val="0"/>
          <w:szCs w:val="21"/>
          <w:u w:val="single"/>
        </w:rPr>
        <w:t>无</w:t>
      </w:r>
      <w:r>
        <w:rPr>
          <w:rFonts w:hint="eastAsia" w:ascii="宋体" w:hAnsi="宋体" w:cs="宋体"/>
          <w:b/>
          <w:szCs w:val="21"/>
          <w:u w:val="single"/>
        </w:rPr>
        <w:t>%</w:t>
      </w:r>
      <w:r>
        <w:rPr>
          <w:rFonts w:hint="eastAsia" w:ascii="宋体" w:hAnsi="宋体" w:cs="宋体"/>
          <w:szCs w:val="21"/>
        </w:rPr>
        <w:t>。</w:t>
      </w:r>
    </w:p>
    <w:p>
      <w:pPr>
        <w:ind w:firstLine="645"/>
        <w:jc w:val="left"/>
        <w:rPr>
          <w:rFonts w:ascii="宋体" w:hAnsi="宋体" w:cs="宋体"/>
          <w:szCs w:val="21"/>
        </w:rPr>
      </w:pPr>
      <w:r>
        <w:rPr>
          <w:rFonts w:hint="eastAsia" w:ascii="宋体" w:hAnsi="宋体" w:cs="宋体"/>
          <w:szCs w:val="21"/>
        </w:rPr>
        <w:t>第3种方式：其他价格调整方式：</w:t>
      </w:r>
      <w:r>
        <w:rPr>
          <w:rFonts w:hint="eastAsia" w:ascii="宋体" w:hAnsi="宋体" w:cs="宋体"/>
          <w:b/>
          <w:kern w:val="0"/>
          <w:szCs w:val="21"/>
          <w:u w:val="single"/>
        </w:rPr>
        <w:t>无</w:t>
      </w:r>
      <w:r>
        <w:rPr>
          <w:rFonts w:hint="eastAsia" w:ascii="宋体" w:hAnsi="宋体" w:cs="宋体"/>
          <w:szCs w:val="21"/>
        </w:rPr>
        <w:t>。</w:t>
      </w:r>
    </w:p>
    <w:p>
      <w:pPr>
        <w:pStyle w:val="7"/>
        <w:tabs>
          <w:tab w:val="left" w:pos="864"/>
        </w:tabs>
        <w:ind w:hanging="862"/>
        <w:rPr>
          <w:rFonts w:ascii="宋体" w:hAnsi="宋体" w:cs="宋体"/>
          <w:bCs w:val="0"/>
          <w:sz w:val="21"/>
          <w:szCs w:val="21"/>
        </w:rPr>
      </w:pPr>
      <w:r>
        <w:rPr>
          <w:rFonts w:hint="eastAsia" w:ascii="宋体" w:hAnsi="宋体" w:cs="宋体"/>
          <w:bCs w:val="0"/>
          <w:sz w:val="21"/>
          <w:szCs w:val="21"/>
        </w:rPr>
        <w:t>12. 合同价格、计量与支付</w:t>
      </w:r>
    </w:p>
    <w:p>
      <w:pPr>
        <w:ind w:firstLine="420" w:firstLineChars="200"/>
        <w:rPr>
          <w:rFonts w:ascii="宋体" w:hAnsi="宋体" w:cs="宋体"/>
          <w:szCs w:val="21"/>
        </w:rPr>
      </w:pPr>
      <w:r>
        <w:rPr>
          <w:rFonts w:hint="eastAsia" w:ascii="宋体" w:hAnsi="宋体" w:cs="宋体"/>
          <w:szCs w:val="21"/>
        </w:rPr>
        <w:t>12.1 合同价格形式</w:t>
      </w:r>
    </w:p>
    <w:p>
      <w:pPr>
        <w:ind w:firstLine="420" w:firstLineChars="200"/>
        <w:jc w:val="left"/>
        <w:rPr>
          <w:rFonts w:ascii="宋体" w:hAnsi="宋体" w:cs="宋体"/>
          <w:szCs w:val="21"/>
        </w:rPr>
      </w:pPr>
      <w:r>
        <w:rPr>
          <w:rFonts w:hint="eastAsia" w:ascii="宋体" w:hAnsi="宋体" w:cs="宋体"/>
          <w:szCs w:val="21"/>
        </w:rPr>
        <w:t>1、单价合同。</w:t>
      </w:r>
    </w:p>
    <w:p>
      <w:pPr>
        <w:ind w:firstLine="420" w:firstLineChars="200"/>
        <w:jc w:val="left"/>
        <w:rPr>
          <w:rFonts w:ascii="宋体" w:hAnsi="宋体" w:cs="宋体"/>
          <w:szCs w:val="21"/>
          <w:u w:val="single"/>
        </w:rPr>
      </w:pPr>
      <w:r>
        <w:rPr>
          <w:rFonts w:hint="eastAsia" w:ascii="宋体" w:hAnsi="宋体" w:cs="宋体"/>
          <w:szCs w:val="21"/>
        </w:rPr>
        <w:t>综合单价包含的风险范围：</w:t>
      </w:r>
      <w:r>
        <w:rPr>
          <w:rFonts w:hint="eastAsia" w:ascii="宋体" w:hAnsi="宋体" w:cs="宋体"/>
          <w:b/>
          <w:szCs w:val="21"/>
          <w:u w:val="single"/>
        </w:rPr>
        <w:t>本工程合同价款内不因物价涨落而调整</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风险费用的计算方法：</w:t>
      </w:r>
      <w:r>
        <w:rPr>
          <w:rFonts w:hint="eastAsia" w:ascii="宋体" w:hAnsi="宋体" w:cs="宋体"/>
          <w:b/>
          <w:szCs w:val="21"/>
          <w:u w:val="single"/>
        </w:rPr>
        <w:t>风险费用的计算由承包人在投标报价中考虑</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风险范围以外合同价格的调整方法：</w:t>
      </w:r>
      <w:r>
        <w:rPr>
          <w:rFonts w:hint="eastAsia" w:ascii="宋体" w:hAnsi="宋体" w:cs="宋体"/>
          <w:b/>
          <w:kern w:val="0"/>
          <w:szCs w:val="21"/>
          <w:u w:val="single"/>
        </w:rPr>
        <w:t xml:space="preserve">/    </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2、总价合同。</w:t>
      </w:r>
    </w:p>
    <w:p>
      <w:pPr>
        <w:ind w:firstLine="420" w:firstLineChars="200"/>
        <w:jc w:val="left"/>
        <w:rPr>
          <w:rFonts w:ascii="宋体" w:hAnsi="宋体" w:cs="宋体"/>
          <w:szCs w:val="21"/>
        </w:rPr>
      </w:pPr>
      <w:r>
        <w:rPr>
          <w:rFonts w:hint="eastAsia" w:ascii="宋体" w:hAnsi="宋体" w:cs="宋体"/>
          <w:szCs w:val="21"/>
        </w:rPr>
        <w:t>总价包含的风险范围：</w:t>
      </w:r>
      <w:r>
        <w:rPr>
          <w:rFonts w:hint="eastAsia" w:ascii="宋体" w:hAnsi="宋体" w:cs="宋体"/>
          <w:b/>
          <w:kern w:val="0"/>
          <w:szCs w:val="21"/>
          <w:u w:val="single"/>
        </w:rPr>
        <w:t xml:space="preserve">  /  </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风险费用的计算方法：</w:t>
      </w:r>
      <w:r>
        <w:rPr>
          <w:rFonts w:hint="eastAsia" w:ascii="宋体" w:hAnsi="宋体" w:cs="宋体"/>
          <w:b/>
          <w:kern w:val="0"/>
          <w:szCs w:val="21"/>
          <w:u w:val="single"/>
        </w:rPr>
        <w:t xml:space="preserve">/ </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风险范围以外合同价格的调整方法：</w:t>
      </w:r>
      <w:r>
        <w:rPr>
          <w:rFonts w:hint="eastAsia" w:ascii="宋体" w:hAnsi="宋体" w:cs="宋体"/>
          <w:b/>
          <w:kern w:val="0"/>
          <w:szCs w:val="21"/>
          <w:u w:val="single"/>
        </w:rPr>
        <w:t xml:space="preserve"> /</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3、其他价格方式：</w:t>
      </w:r>
      <w:r>
        <w:rPr>
          <w:rFonts w:hint="eastAsia" w:ascii="宋体" w:hAnsi="宋体" w:cs="宋体"/>
          <w:b/>
          <w:kern w:val="0"/>
          <w:szCs w:val="21"/>
          <w:u w:val="single"/>
        </w:rPr>
        <w:t>/</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12.2 预付款</w:t>
      </w:r>
    </w:p>
    <w:p>
      <w:pPr>
        <w:ind w:firstLine="420" w:firstLineChars="200"/>
        <w:jc w:val="left"/>
        <w:rPr>
          <w:rFonts w:ascii="宋体" w:hAnsi="宋体" w:cs="宋体"/>
          <w:szCs w:val="21"/>
        </w:rPr>
      </w:pPr>
      <w:r>
        <w:rPr>
          <w:rFonts w:hint="eastAsia" w:ascii="宋体" w:hAnsi="宋体" w:cs="宋体"/>
          <w:szCs w:val="21"/>
        </w:rPr>
        <w:t>12.2.1 预付款的支付</w:t>
      </w:r>
    </w:p>
    <w:p>
      <w:pPr>
        <w:ind w:firstLine="378" w:firstLineChars="180"/>
        <w:rPr>
          <w:rFonts w:ascii="宋体" w:hAnsi="宋体" w:cs="宋体"/>
          <w:szCs w:val="21"/>
        </w:rPr>
      </w:pPr>
      <w:r>
        <w:rPr>
          <w:rFonts w:hint="eastAsia" w:ascii="宋体" w:hAnsi="宋体" w:cs="宋体"/>
          <w:szCs w:val="21"/>
        </w:rPr>
        <w:t>预付款支付比例或金额：</w:t>
      </w:r>
      <w:r>
        <w:rPr>
          <w:rFonts w:hint="eastAsia" w:ascii="宋体" w:hAnsi="宋体" w:cs="宋体"/>
          <w:b/>
          <w:szCs w:val="21"/>
          <w:u w:val="single"/>
        </w:rPr>
        <w:t>合同签订后，5个工作日内支付预付款的金额为合同价款扣除绿色施工安全防护措施费及暂列金额后的20%</w:t>
      </w:r>
      <w:r>
        <w:rPr>
          <w:rFonts w:hint="eastAsia" w:ascii="宋体" w:hAnsi="宋体" w:cs="宋体"/>
          <w:b/>
          <w:bCs/>
          <w:szCs w:val="21"/>
          <w:u w:val="single"/>
        </w:rPr>
        <w:t>（包含了按规定直接转入工人工资支付专户的金额）</w:t>
      </w:r>
      <w:r>
        <w:rPr>
          <w:rFonts w:hint="eastAsia" w:ascii="宋体" w:hAnsi="宋体" w:cs="宋体"/>
          <w:szCs w:val="21"/>
          <w:u w:val="single"/>
        </w:rPr>
        <w:t>。</w:t>
      </w:r>
      <w:r>
        <w:rPr>
          <w:rFonts w:hint="eastAsia" w:ascii="宋体" w:hAnsi="宋体" w:cs="宋体"/>
          <w:b/>
          <w:bCs/>
          <w:szCs w:val="21"/>
          <w:u w:val="single"/>
        </w:rPr>
        <w:t>（发包人在收到承包人提交的完整的支付申请材料后2个月内向银行提出支付申请，视为发包人已经履行支付义务，具体支付时间以银行付讫为准）</w:t>
      </w:r>
    </w:p>
    <w:p>
      <w:pPr>
        <w:ind w:firstLine="420" w:firstLineChars="200"/>
        <w:jc w:val="left"/>
        <w:rPr>
          <w:rFonts w:ascii="宋体" w:hAnsi="宋体" w:cs="宋体"/>
          <w:szCs w:val="21"/>
        </w:rPr>
      </w:pPr>
      <w:r>
        <w:rPr>
          <w:rFonts w:hint="eastAsia" w:ascii="宋体" w:hAnsi="宋体" w:cs="宋体"/>
          <w:szCs w:val="21"/>
        </w:rPr>
        <w:t>预付款支付期限：</w:t>
      </w:r>
      <w:r>
        <w:rPr>
          <w:rFonts w:hint="eastAsia" w:ascii="宋体" w:hAnsi="宋体" w:cs="宋体"/>
          <w:b/>
          <w:kern w:val="0"/>
          <w:szCs w:val="21"/>
          <w:u w:val="single"/>
        </w:rPr>
        <w:t>/</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预付款扣回的方式：</w:t>
      </w:r>
      <w:r>
        <w:rPr>
          <w:rFonts w:hint="eastAsia" w:ascii="宋体" w:hAnsi="宋体" w:cs="宋体"/>
          <w:b/>
          <w:szCs w:val="21"/>
          <w:u w:val="single"/>
        </w:rPr>
        <w:t>每月按监理工程师及发包方审定的实际完成工程量的80%支付进度款（其中当期应付工程款总额的25%作为扣回的工程预付款），直至扣回的工程款达到预付款</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12.2.2 预付款担保</w:t>
      </w:r>
    </w:p>
    <w:p>
      <w:pPr>
        <w:ind w:firstLine="420" w:firstLineChars="200"/>
        <w:jc w:val="left"/>
        <w:rPr>
          <w:rFonts w:ascii="宋体" w:hAnsi="宋体" w:cs="宋体"/>
          <w:szCs w:val="21"/>
        </w:rPr>
      </w:pPr>
      <w:r>
        <w:rPr>
          <w:rFonts w:hint="eastAsia" w:ascii="宋体" w:hAnsi="宋体" w:cs="宋体"/>
          <w:szCs w:val="21"/>
        </w:rPr>
        <w:t>承包人提交预付款担保的期限：</w:t>
      </w:r>
      <w:r>
        <w:rPr>
          <w:rFonts w:hint="eastAsia" w:ascii="宋体" w:hAnsi="宋体" w:cs="宋体"/>
          <w:b/>
          <w:kern w:val="0"/>
          <w:szCs w:val="21"/>
          <w:u w:val="single"/>
        </w:rPr>
        <w:t>/</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预付款担保的形式为：</w:t>
      </w:r>
      <w:r>
        <w:rPr>
          <w:rFonts w:hint="eastAsia" w:ascii="宋体" w:hAnsi="宋体" w:cs="宋体"/>
          <w:b/>
          <w:kern w:val="0"/>
          <w:szCs w:val="21"/>
          <w:u w:val="single"/>
        </w:rPr>
        <w:t>/</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12.3 计量</w:t>
      </w:r>
    </w:p>
    <w:p>
      <w:pPr>
        <w:ind w:firstLine="420" w:firstLineChars="200"/>
        <w:jc w:val="left"/>
        <w:rPr>
          <w:rFonts w:ascii="宋体" w:hAnsi="宋体" w:cs="宋体"/>
          <w:szCs w:val="21"/>
        </w:rPr>
      </w:pPr>
      <w:r>
        <w:rPr>
          <w:rFonts w:hint="eastAsia" w:ascii="宋体" w:hAnsi="宋体" w:cs="宋体"/>
          <w:szCs w:val="21"/>
        </w:rPr>
        <w:t>12.3.1 计量原则</w:t>
      </w:r>
    </w:p>
    <w:p>
      <w:pPr>
        <w:ind w:firstLine="420" w:firstLineChars="200"/>
        <w:jc w:val="left"/>
        <w:rPr>
          <w:rFonts w:ascii="宋体" w:hAnsi="宋体" w:cs="宋体"/>
          <w:szCs w:val="21"/>
        </w:rPr>
      </w:pPr>
      <w:r>
        <w:rPr>
          <w:rFonts w:hint="eastAsia" w:ascii="宋体" w:hAnsi="宋体" w:cs="宋体"/>
          <w:szCs w:val="21"/>
        </w:rPr>
        <w:t>工程量计算规则：</w:t>
      </w:r>
      <w:r>
        <w:rPr>
          <w:rFonts w:hint="eastAsia" w:ascii="宋体" w:hAnsi="宋体" w:cs="宋体"/>
          <w:b/>
          <w:kern w:val="0"/>
          <w:szCs w:val="21"/>
          <w:u w:val="single"/>
        </w:rPr>
        <w:t>/</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12.3.2 计量周期</w:t>
      </w:r>
    </w:p>
    <w:p>
      <w:pPr>
        <w:ind w:firstLine="420" w:firstLineChars="200"/>
        <w:jc w:val="left"/>
        <w:rPr>
          <w:rFonts w:ascii="宋体" w:hAnsi="宋体" w:cs="宋体"/>
          <w:szCs w:val="21"/>
        </w:rPr>
      </w:pPr>
      <w:r>
        <w:rPr>
          <w:rFonts w:hint="eastAsia" w:ascii="宋体" w:hAnsi="宋体" w:cs="宋体"/>
          <w:szCs w:val="21"/>
        </w:rPr>
        <w:t>关于计量周期的约定：</w:t>
      </w:r>
      <w:r>
        <w:rPr>
          <w:rFonts w:hint="eastAsia" w:ascii="宋体" w:hAnsi="宋体" w:cs="宋体"/>
          <w:b/>
          <w:kern w:val="0"/>
          <w:szCs w:val="21"/>
          <w:u w:val="single"/>
        </w:rPr>
        <w:t>按月进行</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12.3.3 单价合同的计量</w:t>
      </w:r>
    </w:p>
    <w:p>
      <w:pPr>
        <w:ind w:firstLine="420" w:firstLineChars="200"/>
        <w:jc w:val="left"/>
        <w:rPr>
          <w:rFonts w:ascii="宋体" w:hAnsi="宋体" w:cs="宋体"/>
          <w:szCs w:val="21"/>
        </w:rPr>
      </w:pPr>
      <w:r>
        <w:rPr>
          <w:rFonts w:hint="eastAsia" w:ascii="宋体" w:hAnsi="宋体" w:cs="宋体"/>
          <w:szCs w:val="21"/>
        </w:rPr>
        <w:t>关于单价合同计量的约定：</w:t>
      </w:r>
      <w:r>
        <w:rPr>
          <w:rFonts w:hint="eastAsia" w:ascii="宋体" w:hAnsi="宋体" w:cs="宋体"/>
          <w:szCs w:val="21"/>
          <w:u w:val="single"/>
        </w:rPr>
        <w:t>/</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12.3.4 总价合同的计量</w:t>
      </w:r>
    </w:p>
    <w:p>
      <w:pPr>
        <w:ind w:firstLine="420" w:firstLineChars="200"/>
        <w:jc w:val="left"/>
        <w:rPr>
          <w:rFonts w:ascii="宋体" w:hAnsi="宋体" w:cs="宋体"/>
          <w:szCs w:val="21"/>
        </w:rPr>
      </w:pPr>
      <w:r>
        <w:rPr>
          <w:rFonts w:hint="eastAsia" w:ascii="宋体" w:hAnsi="宋体" w:cs="宋体"/>
          <w:szCs w:val="21"/>
        </w:rPr>
        <w:t>关于总价合同计量的约定：</w:t>
      </w:r>
      <w:r>
        <w:rPr>
          <w:rFonts w:hint="eastAsia" w:ascii="宋体" w:hAnsi="宋体" w:cs="宋体"/>
          <w:b/>
          <w:kern w:val="0"/>
          <w:szCs w:val="21"/>
          <w:u w:val="single"/>
        </w:rPr>
        <w:t>/</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12.3.5总价合同采用支付分解表计量支付的，是否适用第</w:t>
      </w:r>
      <w:r>
        <w:rPr>
          <w:rFonts w:hint="eastAsia" w:ascii="宋体" w:hAnsi="宋体" w:cs="宋体"/>
          <w:kern w:val="0"/>
          <w:szCs w:val="21"/>
        </w:rPr>
        <w:t xml:space="preserve">12.3.4 </w:t>
      </w:r>
      <w:r>
        <w:rPr>
          <w:rFonts w:hint="eastAsia" w:ascii="宋体" w:hAnsi="宋体" w:cs="宋体"/>
          <w:szCs w:val="21"/>
        </w:rPr>
        <w:t>项</w:t>
      </w:r>
      <w:r>
        <w:rPr>
          <w:rFonts w:hint="eastAsia" w:ascii="宋体" w:hAnsi="宋体" w:cs="宋体"/>
          <w:kern w:val="0"/>
          <w:szCs w:val="21"/>
        </w:rPr>
        <w:t>〔总价合同的计量〕</w:t>
      </w:r>
      <w:r>
        <w:rPr>
          <w:rFonts w:hint="eastAsia" w:ascii="宋体" w:hAnsi="宋体" w:cs="宋体"/>
          <w:szCs w:val="21"/>
        </w:rPr>
        <w:t>约定进行计量：</w:t>
      </w:r>
      <w:r>
        <w:rPr>
          <w:rFonts w:hint="eastAsia" w:ascii="宋体" w:hAnsi="宋体" w:cs="宋体"/>
          <w:b/>
          <w:kern w:val="0"/>
          <w:szCs w:val="21"/>
          <w:u w:val="single"/>
        </w:rPr>
        <w:t>/</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12.3.6 其他价格形式合同的计量</w:t>
      </w:r>
    </w:p>
    <w:p>
      <w:pPr>
        <w:ind w:firstLine="420" w:firstLineChars="200"/>
        <w:jc w:val="left"/>
        <w:rPr>
          <w:rFonts w:ascii="宋体" w:hAnsi="宋体" w:cs="宋体"/>
          <w:szCs w:val="21"/>
        </w:rPr>
      </w:pPr>
      <w:r>
        <w:rPr>
          <w:rFonts w:hint="eastAsia" w:ascii="宋体" w:hAnsi="宋体" w:cs="宋体"/>
          <w:szCs w:val="21"/>
        </w:rPr>
        <w:t>其他价格形式的计量方式和程序：</w:t>
      </w:r>
      <w:r>
        <w:rPr>
          <w:rFonts w:hint="eastAsia" w:ascii="宋体" w:hAnsi="宋体" w:cs="宋体"/>
          <w:b/>
          <w:kern w:val="0"/>
          <w:szCs w:val="21"/>
          <w:u w:val="single"/>
        </w:rPr>
        <w:t>/</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12.4 工程进度款支付</w:t>
      </w:r>
    </w:p>
    <w:p>
      <w:pPr>
        <w:ind w:firstLine="420" w:firstLineChars="200"/>
        <w:jc w:val="left"/>
        <w:rPr>
          <w:rFonts w:ascii="宋体" w:hAnsi="宋体" w:cs="宋体"/>
          <w:szCs w:val="21"/>
        </w:rPr>
      </w:pPr>
      <w:r>
        <w:rPr>
          <w:rFonts w:hint="eastAsia" w:ascii="宋体" w:hAnsi="宋体" w:cs="宋体"/>
          <w:szCs w:val="21"/>
        </w:rPr>
        <w:t>12.4.1 付款周期</w:t>
      </w:r>
    </w:p>
    <w:p>
      <w:pPr>
        <w:ind w:firstLine="420" w:firstLineChars="200"/>
        <w:jc w:val="left"/>
        <w:rPr>
          <w:rFonts w:ascii="宋体" w:hAnsi="宋体" w:cs="宋体"/>
          <w:b/>
          <w:szCs w:val="21"/>
          <w:u w:val="single"/>
        </w:rPr>
      </w:pPr>
      <w:r>
        <w:rPr>
          <w:rFonts w:hint="eastAsia" w:ascii="宋体" w:hAnsi="宋体" w:cs="宋体"/>
          <w:szCs w:val="21"/>
        </w:rPr>
        <w:t>关于付款周期的约定：</w:t>
      </w:r>
      <w:r>
        <w:rPr>
          <w:rFonts w:hint="eastAsia" w:ascii="宋体" w:hAnsi="宋体" w:cs="宋体"/>
          <w:b/>
          <w:szCs w:val="21"/>
          <w:u w:val="single"/>
        </w:rPr>
        <w:t>按工程进度支付工程进度款（不含安全生产、文明施工措施费及暂列金额）。每月按监理工程师及发包方审定的实际完成工程量的80%支付进度款（其中当期应付工程款总额的25%作为扣回的工程预付款），当扣回的工程款达到预付款足额的下月起，每月按监理工程师及发包方审定的实际完成工程量的80%支付进度款，当累计付款至合同价款的80%时，停止支付进度款；在竣工结算审定后，支付工程款至审定工程结算造价的97%，留3%作为质量保证金。（发包人在收到承包人提交的完整的支付申请材料后2个月内向银行提出支付申请，视为发包人已经履行支付义务，具体支付时间以银行付讫为准）</w:t>
      </w:r>
    </w:p>
    <w:p>
      <w:pPr>
        <w:ind w:firstLine="420" w:firstLineChars="200"/>
        <w:jc w:val="left"/>
        <w:rPr>
          <w:rFonts w:ascii="宋体" w:hAnsi="宋体" w:cs="宋体"/>
          <w:szCs w:val="21"/>
        </w:rPr>
      </w:pPr>
      <w:r>
        <w:rPr>
          <w:rFonts w:hint="eastAsia" w:ascii="宋体" w:hAnsi="宋体" w:cs="宋体"/>
          <w:szCs w:val="21"/>
        </w:rPr>
        <w:t>12.4.2 进度付款申请单的编制</w:t>
      </w:r>
    </w:p>
    <w:p>
      <w:pPr>
        <w:ind w:firstLine="420" w:firstLineChars="200"/>
        <w:jc w:val="left"/>
        <w:rPr>
          <w:rFonts w:ascii="宋体" w:hAnsi="宋体" w:cs="宋体"/>
          <w:szCs w:val="21"/>
        </w:rPr>
      </w:pPr>
      <w:r>
        <w:rPr>
          <w:rFonts w:hint="eastAsia" w:ascii="宋体" w:hAnsi="宋体" w:cs="宋体"/>
          <w:szCs w:val="21"/>
        </w:rPr>
        <w:t>关于进度付款申请单编制的约定：</w:t>
      </w:r>
      <w:r>
        <w:rPr>
          <w:rFonts w:hint="eastAsia" w:ascii="宋体" w:hAnsi="宋体" w:cs="宋体"/>
          <w:b/>
          <w:szCs w:val="21"/>
          <w:u w:val="single"/>
        </w:rPr>
        <w:t>按发包人工程款支付管理规定执行</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12.4.3 进度付款申请单的提交</w:t>
      </w:r>
    </w:p>
    <w:p>
      <w:pPr>
        <w:ind w:firstLine="420" w:firstLineChars="200"/>
        <w:jc w:val="left"/>
        <w:rPr>
          <w:rFonts w:ascii="宋体" w:hAnsi="宋体" w:cs="宋体"/>
          <w:szCs w:val="21"/>
        </w:rPr>
      </w:pPr>
      <w:r>
        <w:rPr>
          <w:rFonts w:hint="eastAsia" w:ascii="宋体" w:hAnsi="宋体" w:cs="宋体"/>
          <w:szCs w:val="21"/>
        </w:rPr>
        <w:t>（1）单价合同进度付款申请单提交的约定：</w:t>
      </w:r>
      <w:r>
        <w:rPr>
          <w:rFonts w:hint="eastAsia" w:ascii="宋体" w:hAnsi="宋体" w:cs="宋体"/>
          <w:b/>
          <w:szCs w:val="21"/>
          <w:u w:val="single"/>
        </w:rPr>
        <w:t>按发包人工程款支付管理规定执行；</w:t>
      </w:r>
    </w:p>
    <w:p>
      <w:pPr>
        <w:ind w:firstLine="420" w:firstLineChars="200"/>
        <w:jc w:val="left"/>
        <w:rPr>
          <w:rFonts w:ascii="宋体" w:hAnsi="宋体" w:cs="宋体"/>
          <w:szCs w:val="21"/>
        </w:rPr>
      </w:pPr>
      <w:r>
        <w:rPr>
          <w:rFonts w:hint="eastAsia" w:ascii="宋体" w:hAnsi="宋体" w:cs="宋体"/>
          <w:szCs w:val="21"/>
        </w:rPr>
        <w:t>（2）总价合同进度付款申请单提交的约定：</w:t>
      </w:r>
      <w:r>
        <w:rPr>
          <w:rFonts w:hint="eastAsia" w:ascii="宋体" w:hAnsi="宋体" w:cs="宋体"/>
          <w:b/>
          <w:kern w:val="0"/>
          <w:szCs w:val="21"/>
          <w:u w:val="single"/>
        </w:rPr>
        <w:t>/</w:t>
      </w:r>
      <w:r>
        <w:rPr>
          <w:rFonts w:hint="eastAsia" w:ascii="宋体" w:hAnsi="宋体" w:cs="宋体"/>
          <w:szCs w:val="21"/>
        </w:rPr>
        <w:t>。</w:t>
      </w:r>
    </w:p>
    <w:p>
      <w:pPr>
        <w:ind w:firstLine="420" w:firstLineChars="200"/>
        <w:jc w:val="left"/>
        <w:rPr>
          <w:rFonts w:ascii="宋体" w:hAnsi="宋体" w:cs="宋体"/>
          <w:szCs w:val="21"/>
          <w:u w:val="single"/>
        </w:rPr>
      </w:pPr>
      <w:r>
        <w:rPr>
          <w:rFonts w:hint="eastAsia" w:ascii="宋体" w:hAnsi="宋体" w:cs="宋体"/>
          <w:szCs w:val="21"/>
        </w:rPr>
        <w:t>（3）其他价格形式合同进度付款申请单提交的约定：</w:t>
      </w:r>
      <w:r>
        <w:rPr>
          <w:rFonts w:hint="eastAsia" w:ascii="宋体" w:hAnsi="宋体" w:cs="宋体"/>
          <w:b/>
          <w:kern w:val="0"/>
          <w:szCs w:val="21"/>
          <w:u w:val="single"/>
        </w:rPr>
        <w:t>/</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12.4.4 进度款审核和支付</w:t>
      </w:r>
    </w:p>
    <w:p>
      <w:pPr>
        <w:ind w:firstLine="420" w:firstLineChars="200"/>
        <w:jc w:val="left"/>
        <w:rPr>
          <w:rFonts w:ascii="宋体" w:hAnsi="宋体" w:cs="宋体"/>
          <w:szCs w:val="21"/>
          <w:u w:val="single"/>
        </w:rPr>
      </w:pPr>
      <w:r>
        <w:rPr>
          <w:rFonts w:hint="eastAsia" w:ascii="宋体" w:hAnsi="宋体" w:cs="宋体"/>
          <w:szCs w:val="21"/>
        </w:rPr>
        <w:t>（1）监理人审查并报送发包人的期限：</w:t>
      </w:r>
      <w:r>
        <w:rPr>
          <w:rFonts w:hint="eastAsia" w:ascii="宋体" w:hAnsi="宋体" w:cs="宋体"/>
          <w:b/>
          <w:kern w:val="0"/>
          <w:szCs w:val="21"/>
          <w:u w:val="single"/>
        </w:rPr>
        <w:t>无</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发包人完成审批并签发进度款支付证书的期限：</w:t>
      </w:r>
      <w:r>
        <w:rPr>
          <w:rFonts w:hint="eastAsia" w:ascii="宋体" w:hAnsi="宋体" w:cs="宋体"/>
          <w:b/>
          <w:kern w:val="0"/>
          <w:szCs w:val="21"/>
          <w:u w:val="single"/>
        </w:rPr>
        <w:t>无</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（2）发包人支付进度款的期限：</w:t>
      </w:r>
      <w:r>
        <w:rPr>
          <w:rFonts w:hint="eastAsia" w:ascii="宋体" w:hAnsi="宋体" w:cs="宋体"/>
          <w:b/>
          <w:kern w:val="0"/>
          <w:szCs w:val="21"/>
          <w:u w:val="single"/>
        </w:rPr>
        <w:t>无</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发包人逾期支付进度款的违约金的计算方式：</w:t>
      </w:r>
      <w:r>
        <w:rPr>
          <w:rFonts w:hint="eastAsia" w:ascii="宋体" w:hAnsi="宋体" w:cs="宋体"/>
          <w:b/>
          <w:kern w:val="0"/>
          <w:szCs w:val="21"/>
          <w:u w:val="single"/>
        </w:rPr>
        <w:t>无</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12.4.6 支付分解表的编制</w:t>
      </w:r>
    </w:p>
    <w:p>
      <w:pPr>
        <w:ind w:firstLine="420" w:firstLineChars="200"/>
        <w:jc w:val="left"/>
        <w:rPr>
          <w:rFonts w:ascii="宋体" w:hAnsi="宋体" w:cs="宋体"/>
          <w:szCs w:val="21"/>
        </w:rPr>
      </w:pPr>
      <w:r>
        <w:rPr>
          <w:rFonts w:hint="eastAsia" w:ascii="宋体" w:hAnsi="宋体" w:cs="宋体"/>
          <w:szCs w:val="21"/>
        </w:rPr>
        <w:t>2、总价合同支付分解表的编制与审批：</w:t>
      </w:r>
      <w:r>
        <w:rPr>
          <w:rFonts w:hint="eastAsia" w:ascii="宋体" w:hAnsi="宋体" w:cs="宋体"/>
          <w:b/>
          <w:kern w:val="0"/>
          <w:szCs w:val="21"/>
          <w:u w:val="single"/>
        </w:rPr>
        <w:t>/</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3、单价合同的总价项目支付分解表的编制与审批：</w:t>
      </w:r>
      <w:r>
        <w:rPr>
          <w:rFonts w:hint="eastAsia" w:ascii="宋体" w:hAnsi="宋体" w:cs="宋体"/>
          <w:b/>
          <w:kern w:val="0"/>
          <w:szCs w:val="21"/>
          <w:u w:val="single"/>
        </w:rPr>
        <w:t xml:space="preserve">/ </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12.5 支付账户</w:t>
      </w:r>
    </w:p>
    <w:p>
      <w:pPr>
        <w:ind w:firstLine="420" w:firstLineChars="200"/>
        <w:jc w:val="left"/>
        <w:rPr>
          <w:rFonts w:ascii="宋体" w:hAnsi="宋体" w:cs="宋体"/>
          <w:szCs w:val="21"/>
        </w:rPr>
      </w:pPr>
      <w:r>
        <w:rPr>
          <w:rFonts w:hint="eastAsia" w:ascii="宋体" w:hAnsi="宋体" w:cs="宋体"/>
          <w:szCs w:val="21"/>
        </w:rPr>
        <w:t>关于发包人向承包人支付工程款账户的约定：</w:t>
      </w:r>
      <w:r>
        <w:rPr>
          <w:rFonts w:hint="eastAsia" w:ascii="宋体" w:hAnsi="宋体" w:cs="宋体"/>
          <w:b/>
          <w:bCs/>
          <w:szCs w:val="21"/>
          <w:u w:val="single"/>
        </w:rPr>
        <w:t>发包人向承包人支付工程款须转账到承包人的账户，账户资料见本合同第一部分《协议书》。</w:t>
      </w:r>
    </w:p>
    <w:p>
      <w:pPr>
        <w:pStyle w:val="7"/>
        <w:tabs>
          <w:tab w:val="left" w:pos="864"/>
        </w:tabs>
        <w:ind w:hanging="862"/>
        <w:rPr>
          <w:rFonts w:ascii="宋体" w:hAnsi="宋体" w:cs="宋体"/>
          <w:bCs w:val="0"/>
          <w:sz w:val="21"/>
          <w:szCs w:val="21"/>
        </w:rPr>
      </w:pPr>
      <w:r>
        <w:rPr>
          <w:rFonts w:hint="eastAsia" w:ascii="宋体" w:hAnsi="宋体" w:cs="宋体"/>
          <w:bCs w:val="0"/>
          <w:sz w:val="21"/>
          <w:szCs w:val="21"/>
        </w:rPr>
        <w:t>13. 验收和工程试车</w:t>
      </w:r>
    </w:p>
    <w:p>
      <w:pPr>
        <w:ind w:firstLine="420" w:firstLineChars="200"/>
        <w:rPr>
          <w:rFonts w:ascii="宋体" w:hAnsi="宋体" w:cs="宋体"/>
          <w:szCs w:val="21"/>
        </w:rPr>
      </w:pPr>
      <w:r>
        <w:rPr>
          <w:rFonts w:hint="eastAsia" w:ascii="宋体" w:hAnsi="宋体" w:cs="宋体"/>
          <w:szCs w:val="21"/>
        </w:rPr>
        <w:t>13.1 分部分项工程验收</w:t>
      </w:r>
    </w:p>
    <w:p>
      <w:pPr>
        <w:ind w:firstLine="420" w:firstLineChars="200"/>
        <w:jc w:val="left"/>
        <w:rPr>
          <w:rFonts w:ascii="宋体" w:hAnsi="宋体" w:cs="宋体"/>
          <w:szCs w:val="21"/>
        </w:rPr>
      </w:pPr>
      <w:r>
        <w:rPr>
          <w:rFonts w:hint="eastAsia" w:ascii="宋体" w:hAnsi="宋体" w:cs="宋体"/>
          <w:szCs w:val="21"/>
        </w:rPr>
        <w:t>13.1.2监理人不能按时进行验收时，应提前</w:t>
      </w:r>
      <w:r>
        <w:rPr>
          <w:rFonts w:hint="eastAsia" w:ascii="宋体" w:hAnsi="宋体" w:cs="宋体"/>
          <w:b/>
          <w:kern w:val="0"/>
          <w:szCs w:val="21"/>
          <w:u w:val="single"/>
        </w:rPr>
        <w:t xml:space="preserve">24 </w:t>
      </w:r>
      <w:r>
        <w:rPr>
          <w:rFonts w:hint="eastAsia" w:ascii="宋体" w:hAnsi="宋体" w:cs="宋体"/>
          <w:szCs w:val="21"/>
        </w:rPr>
        <w:t>小时提交书面延期要求。</w:t>
      </w:r>
    </w:p>
    <w:p>
      <w:pPr>
        <w:ind w:firstLine="420" w:firstLineChars="200"/>
        <w:jc w:val="left"/>
        <w:rPr>
          <w:rFonts w:ascii="宋体" w:hAnsi="宋体" w:cs="宋体"/>
          <w:b/>
          <w:szCs w:val="21"/>
        </w:rPr>
      </w:pPr>
      <w:r>
        <w:rPr>
          <w:rFonts w:hint="eastAsia" w:ascii="宋体" w:hAnsi="宋体" w:cs="宋体"/>
          <w:szCs w:val="21"/>
        </w:rPr>
        <w:t>关于延期最长不得超过：</w:t>
      </w:r>
      <w:r>
        <w:rPr>
          <w:rFonts w:hint="eastAsia" w:ascii="宋体" w:hAnsi="宋体" w:cs="宋体"/>
          <w:b/>
          <w:kern w:val="0"/>
          <w:szCs w:val="21"/>
          <w:u w:val="single"/>
        </w:rPr>
        <w:t>48</w:t>
      </w:r>
      <w:r>
        <w:rPr>
          <w:rFonts w:hint="eastAsia" w:ascii="宋体" w:hAnsi="宋体" w:cs="宋体"/>
          <w:szCs w:val="21"/>
        </w:rPr>
        <w:t>小时。</w:t>
      </w:r>
    </w:p>
    <w:p>
      <w:pPr>
        <w:ind w:firstLine="420" w:firstLineChars="200"/>
        <w:rPr>
          <w:rFonts w:ascii="宋体" w:hAnsi="宋体" w:cs="宋体"/>
          <w:szCs w:val="21"/>
        </w:rPr>
      </w:pPr>
      <w:r>
        <w:rPr>
          <w:rFonts w:hint="eastAsia" w:ascii="宋体" w:hAnsi="宋体" w:cs="宋体"/>
          <w:szCs w:val="21"/>
        </w:rPr>
        <w:t>13.2 竣工验收</w:t>
      </w:r>
    </w:p>
    <w:p>
      <w:pPr>
        <w:ind w:firstLine="420" w:firstLineChars="200"/>
        <w:jc w:val="left"/>
        <w:rPr>
          <w:rFonts w:ascii="宋体" w:hAnsi="宋体" w:cs="宋体"/>
          <w:szCs w:val="21"/>
        </w:rPr>
      </w:pPr>
      <w:r>
        <w:rPr>
          <w:rFonts w:hint="eastAsia" w:ascii="宋体" w:hAnsi="宋体" w:cs="宋体"/>
          <w:szCs w:val="21"/>
        </w:rPr>
        <w:t>13.2.1竣工验收程序</w:t>
      </w:r>
    </w:p>
    <w:p>
      <w:pPr>
        <w:ind w:firstLine="420" w:firstLineChars="200"/>
        <w:jc w:val="left"/>
        <w:rPr>
          <w:rFonts w:ascii="宋体" w:hAnsi="宋体" w:cs="宋体"/>
          <w:szCs w:val="21"/>
        </w:rPr>
      </w:pPr>
      <w:r>
        <w:rPr>
          <w:rFonts w:hint="eastAsia" w:ascii="宋体" w:hAnsi="宋体" w:cs="宋体"/>
          <w:kern w:val="0"/>
          <w:szCs w:val="21"/>
        </w:rPr>
        <w:t>关于竣工验收程序的约定：</w:t>
      </w:r>
      <w:r>
        <w:rPr>
          <w:rFonts w:hint="eastAsia" w:ascii="宋体" w:hAnsi="宋体" w:cs="宋体"/>
          <w:b/>
          <w:kern w:val="0"/>
          <w:szCs w:val="21"/>
          <w:u w:val="single"/>
        </w:rPr>
        <w:t>/</w:t>
      </w:r>
      <w:r>
        <w:rPr>
          <w:rFonts w:hint="eastAsia" w:ascii="宋体" w:hAnsi="宋体" w:cs="宋体"/>
          <w:szCs w:val="21"/>
        </w:rPr>
        <w:t>。</w:t>
      </w:r>
    </w:p>
    <w:p>
      <w:pPr>
        <w:ind w:firstLine="420" w:firstLineChars="200"/>
        <w:jc w:val="left"/>
        <w:rPr>
          <w:rFonts w:ascii="宋体" w:hAnsi="宋体" w:cs="宋体"/>
          <w:szCs w:val="21"/>
          <w:u w:val="single"/>
        </w:rPr>
      </w:pPr>
      <w:r>
        <w:rPr>
          <w:rFonts w:hint="eastAsia" w:ascii="宋体" w:hAnsi="宋体" w:cs="宋体"/>
          <w:kern w:val="0"/>
          <w:szCs w:val="21"/>
        </w:rPr>
        <w:t>发包人不按照本项约定组织竣工验收、颁发工程接收证书的违约金的计算方法：</w:t>
      </w:r>
      <w:r>
        <w:rPr>
          <w:rFonts w:hint="eastAsia" w:ascii="宋体" w:hAnsi="宋体" w:cs="宋体"/>
          <w:b/>
          <w:kern w:val="0"/>
          <w:szCs w:val="21"/>
          <w:u w:val="single"/>
        </w:rPr>
        <w:t>无</w:t>
      </w:r>
      <w:r>
        <w:rPr>
          <w:rFonts w:hint="eastAsia" w:ascii="宋体" w:hAnsi="宋体" w:cs="宋体"/>
          <w:szCs w:val="21"/>
          <w:u w:val="single"/>
        </w:rPr>
        <w:t>。</w:t>
      </w:r>
    </w:p>
    <w:p>
      <w:pPr>
        <w:ind w:firstLine="420" w:firstLineChars="200"/>
        <w:jc w:val="left"/>
        <w:rPr>
          <w:rFonts w:ascii="宋体" w:hAnsi="宋体" w:cs="宋体"/>
          <w:szCs w:val="21"/>
        </w:rPr>
      </w:pPr>
      <w:r>
        <w:rPr>
          <w:rFonts w:hint="eastAsia" w:ascii="宋体" w:hAnsi="宋体" w:cs="宋体"/>
          <w:szCs w:val="21"/>
        </w:rPr>
        <w:t>13.2.5移交、接收全部与部分工程</w:t>
      </w:r>
    </w:p>
    <w:p>
      <w:pPr>
        <w:ind w:firstLine="420" w:firstLineChars="200"/>
        <w:jc w:val="left"/>
        <w:rPr>
          <w:rFonts w:ascii="宋体" w:hAnsi="宋体" w:cs="宋体"/>
          <w:kern w:val="0"/>
          <w:szCs w:val="21"/>
        </w:rPr>
      </w:pPr>
      <w:r>
        <w:rPr>
          <w:rFonts w:hint="eastAsia" w:ascii="宋体" w:hAnsi="宋体" w:cs="宋体"/>
          <w:kern w:val="0"/>
          <w:szCs w:val="21"/>
        </w:rPr>
        <w:t>承包人向发包人移交工程的期限：</w:t>
      </w:r>
      <w:r>
        <w:rPr>
          <w:rFonts w:hint="eastAsia" w:ascii="宋体" w:hAnsi="宋体" w:cs="宋体"/>
          <w:b/>
          <w:kern w:val="0"/>
          <w:szCs w:val="21"/>
          <w:u w:val="single"/>
        </w:rPr>
        <w:t>颁发工程接收证书后7天内完成工程的移交</w:t>
      </w:r>
      <w:r>
        <w:rPr>
          <w:rFonts w:hint="eastAsia" w:ascii="宋体" w:hAnsi="宋体" w:cs="宋体"/>
          <w:szCs w:val="21"/>
        </w:rPr>
        <w:t>。</w:t>
      </w:r>
    </w:p>
    <w:p>
      <w:pPr>
        <w:ind w:firstLine="420" w:firstLineChars="200"/>
        <w:jc w:val="left"/>
        <w:rPr>
          <w:rFonts w:ascii="宋体" w:hAnsi="宋体" w:cs="宋体"/>
          <w:szCs w:val="21"/>
          <w:u w:val="single"/>
        </w:rPr>
      </w:pPr>
      <w:r>
        <w:rPr>
          <w:rFonts w:hint="eastAsia" w:ascii="宋体" w:hAnsi="宋体" w:cs="宋体"/>
          <w:kern w:val="0"/>
          <w:szCs w:val="21"/>
        </w:rPr>
        <w:t>发包人未按本合同约定接收全部或部分工程的，违约金的计算方法为：</w:t>
      </w:r>
      <w:r>
        <w:rPr>
          <w:rFonts w:hint="eastAsia" w:ascii="宋体" w:hAnsi="宋体" w:cs="宋体"/>
          <w:b/>
          <w:kern w:val="0"/>
          <w:szCs w:val="21"/>
          <w:u w:val="single"/>
        </w:rPr>
        <w:t>无</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承包人未按时移交工程的，违约金的计算方法为：</w:t>
      </w:r>
      <w:r>
        <w:rPr>
          <w:rFonts w:hint="eastAsia" w:ascii="宋体" w:hAnsi="宋体" w:cs="宋体"/>
          <w:b/>
          <w:szCs w:val="21"/>
          <w:u w:val="single"/>
        </w:rPr>
        <w:t>每逾期一天，承包人以人民币3万元作为违约金，工程结算时发包人在工程款扣取，直扣至合同价款的百分之十为止</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13.3 工程试车</w:t>
      </w:r>
    </w:p>
    <w:p>
      <w:pPr>
        <w:ind w:firstLine="420" w:firstLineChars="200"/>
        <w:jc w:val="left"/>
        <w:rPr>
          <w:rFonts w:ascii="宋体" w:hAnsi="宋体" w:cs="宋体"/>
          <w:kern w:val="0"/>
          <w:szCs w:val="21"/>
        </w:rPr>
      </w:pPr>
      <w:r>
        <w:rPr>
          <w:rFonts w:hint="eastAsia" w:ascii="宋体" w:hAnsi="宋体" w:cs="宋体"/>
          <w:kern w:val="0"/>
          <w:szCs w:val="21"/>
        </w:rPr>
        <w:t>13.3.1 试车程序</w:t>
      </w:r>
    </w:p>
    <w:p>
      <w:pPr>
        <w:ind w:firstLine="420" w:firstLineChars="200"/>
        <w:jc w:val="left"/>
        <w:rPr>
          <w:rFonts w:ascii="宋体" w:hAnsi="宋体" w:cs="宋体"/>
          <w:szCs w:val="21"/>
        </w:rPr>
      </w:pPr>
      <w:r>
        <w:rPr>
          <w:rFonts w:hint="eastAsia" w:ascii="宋体" w:hAnsi="宋体" w:cs="宋体"/>
          <w:szCs w:val="21"/>
        </w:rPr>
        <w:t>工程试车内容：</w:t>
      </w:r>
      <w:r>
        <w:rPr>
          <w:rFonts w:hint="eastAsia" w:ascii="宋体" w:hAnsi="宋体" w:cs="宋体"/>
          <w:b/>
          <w:kern w:val="0"/>
          <w:szCs w:val="21"/>
          <w:u w:val="single"/>
        </w:rPr>
        <w:t>/</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（1）单机无负荷试车费用由</w:t>
      </w:r>
      <w:r>
        <w:rPr>
          <w:rFonts w:hint="eastAsia" w:ascii="宋体" w:hAnsi="宋体" w:cs="宋体"/>
          <w:b/>
          <w:kern w:val="0"/>
          <w:szCs w:val="21"/>
          <w:u w:val="single"/>
        </w:rPr>
        <w:t>/</w:t>
      </w:r>
      <w:r>
        <w:rPr>
          <w:rFonts w:hint="eastAsia" w:ascii="宋体" w:hAnsi="宋体" w:cs="宋体"/>
          <w:szCs w:val="21"/>
        </w:rPr>
        <w:t>承担；</w:t>
      </w:r>
    </w:p>
    <w:p>
      <w:pPr>
        <w:ind w:firstLine="420" w:firstLineChars="200"/>
        <w:jc w:val="left"/>
        <w:rPr>
          <w:rFonts w:ascii="宋体" w:hAnsi="宋体" w:cs="宋体"/>
          <w:szCs w:val="21"/>
        </w:rPr>
      </w:pPr>
      <w:r>
        <w:rPr>
          <w:rFonts w:hint="eastAsia" w:ascii="宋体" w:hAnsi="宋体" w:cs="宋体"/>
          <w:szCs w:val="21"/>
        </w:rPr>
        <w:t>（2）无负荷联动试车费用由</w:t>
      </w:r>
      <w:r>
        <w:rPr>
          <w:rFonts w:hint="eastAsia" w:ascii="宋体" w:hAnsi="宋体" w:cs="宋体"/>
          <w:b/>
          <w:kern w:val="0"/>
          <w:szCs w:val="21"/>
          <w:u w:val="single"/>
        </w:rPr>
        <w:t>/</w:t>
      </w:r>
      <w:r>
        <w:rPr>
          <w:rFonts w:hint="eastAsia" w:ascii="宋体" w:hAnsi="宋体" w:cs="宋体"/>
          <w:szCs w:val="21"/>
        </w:rPr>
        <w:t>承担。</w:t>
      </w:r>
    </w:p>
    <w:p>
      <w:pPr>
        <w:ind w:firstLine="420" w:firstLineChars="200"/>
        <w:jc w:val="left"/>
        <w:rPr>
          <w:rFonts w:ascii="宋体" w:hAnsi="宋体" w:cs="宋体"/>
          <w:szCs w:val="21"/>
        </w:rPr>
      </w:pPr>
      <w:r>
        <w:rPr>
          <w:rFonts w:hint="eastAsia" w:ascii="宋体" w:hAnsi="宋体" w:cs="宋体"/>
          <w:szCs w:val="21"/>
        </w:rPr>
        <w:t>13.3.3 投料试车</w:t>
      </w:r>
    </w:p>
    <w:p>
      <w:pPr>
        <w:ind w:firstLine="420" w:firstLineChars="200"/>
        <w:jc w:val="left"/>
        <w:rPr>
          <w:rFonts w:ascii="宋体" w:hAnsi="宋体" w:cs="宋体"/>
          <w:szCs w:val="21"/>
        </w:rPr>
      </w:pPr>
      <w:r>
        <w:rPr>
          <w:rFonts w:hint="eastAsia" w:ascii="宋体" w:hAnsi="宋体" w:cs="宋体"/>
          <w:szCs w:val="21"/>
        </w:rPr>
        <w:t>关于投料试车相关事项的约定：</w:t>
      </w:r>
      <w:r>
        <w:rPr>
          <w:rFonts w:hint="eastAsia" w:ascii="宋体" w:hAnsi="宋体" w:cs="宋体"/>
          <w:b/>
          <w:kern w:val="0"/>
          <w:szCs w:val="21"/>
          <w:u w:val="single"/>
        </w:rPr>
        <w:t>/</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13.6 竣工退场</w:t>
      </w:r>
    </w:p>
    <w:p>
      <w:pPr>
        <w:ind w:firstLine="420" w:firstLineChars="200"/>
        <w:jc w:val="left"/>
        <w:rPr>
          <w:rFonts w:ascii="宋体" w:hAnsi="宋体" w:cs="宋体"/>
          <w:kern w:val="0"/>
          <w:szCs w:val="21"/>
        </w:rPr>
      </w:pPr>
      <w:r>
        <w:rPr>
          <w:rFonts w:hint="eastAsia" w:ascii="宋体" w:hAnsi="宋体" w:cs="宋体"/>
          <w:kern w:val="0"/>
          <w:szCs w:val="21"/>
        </w:rPr>
        <w:t>13.6.1 竣工退场</w:t>
      </w:r>
    </w:p>
    <w:p>
      <w:pPr>
        <w:ind w:firstLine="420" w:firstLineChars="200"/>
        <w:jc w:val="left"/>
        <w:rPr>
          <w:rFonts w:ascii="宋体" w:hAnsi="宋体" w:cs="宋体"/>
          <w:kern w:val="0"/>
          <w:szCs w:val="21"/>
        </w:rPr>
      </w:pPr>
      <w:r>
        <w:rPr>
          <w:rFonts w:hint="eastAsia" w:ascii="宋体" w:hAnsi="宋体" w:cs="宋体"/>
          <w:kern w:val="0"/>
          <w:szCs w:val="21"/>
        </w:rPr>
        <w:t>承包人完成竣工退场的期限：</w:t>
      </w:r>
      <w:r>
        <w:rPr>
          <w:rFonts w:hint="eastAsia" w:ascii="宋体" w:hAnsi="宋体" w:cs="宋体"/>
          <w:b/>
          <w:kern w:val="0"/>
          <w:szCs w:val="21"/>
          <w:u w:val="single"/>
        </w:rPr>
        <w:t>颁发工程接收证书后7天内完成工程的移交</w:t>
      </w:r>
      <w:r>
        <w:rPr>
          <w:rFonts w:hint="eastAsia" w:ascii="宋体" w:hAnsi="宋体" w:cs="宋体"/>
          <w:kern w:val="0"/>
          <w:szCs w:val="21"/>
        </w:rPr>
        <w:t>。</w:t>
      </w:r>
    </w:p>
    <w:p>
      <w:pPr>
        <w:pStyle w:val="7"/>
        <w:tabs>
          <w:tab w:val="left" w:pos="864"/>
        </w:tabs>
        <w:ind w:hanging="862"/>
        <w:rPr>
          <w:rFonts w:ascii="宋体" w:hAnsi="宋体" w:cs="宋体"/>
          <w:bCs w:val="0"/>
          <w:sz w:val="21"/>
          <w:szCs w:val="21"/>
        </w:rPr>
      </w:pPr>
      <w:r>
        <w:rPr>
          <w:rFonts w:hint="eastAsia" w:ascii="宋体" w:hAnsi="宋体" w:cs="宋体"/>
          <w:bCs w:val="0"/>
          <w:sz w:val="21"/>
          <w:szCs w:val="21"/>
        </w:rPr>
        <w:t>14. 竣工结算</w:t>
      </w:r>
    </w:p>
    <w:p>
      <w:pPr>
        <w:ind w:firstLine="420" w:firstLineChars="200"/>
        <w:rPr>
          <w:rFonts w:ascii="宋体" w:hAnsi="宋体" w:cs="宋体"/>
          <w:szCs w:val="21"/>
        </w:rPr>
      </w:pPr>
      <w:r>
        <w:rPr>
          <w:rFonts w:hint="eastAsia" w:ascii="宋体" w:hAnsi="宋体" w:cs="宋体"/>
          <w:szCs w:val="21"/>
        </w:rPr>
        <w:t>14.1 竣工结算申请</w:t>
      </w:r>
    </w:p>
    <w:p>
      <w:pPr>
        <w:ind w:firstLine="420" w:firstLineChars="200"/>
        <w:jc w:val="left"/>
        <w:rPr>
          <w:rFonts w:ascii="宋体" w:hAnsi="宋体" w:cs="宋体"/>
          <w:szCs w:val="21"/>
        </w:rPr>
      </w:pPr>
      <w:r>
        <w:rPr>
          <w:rFonts w:hint="eastAsia" w:ascii="宋体" w:hAnsi="宋体" w:cs="宋体"/>
          <w:szCs w:val="21"/>
        </w:rPr>
        <w:t>承包人提交竣工结算申请单的期限：</w:t>
      </w:r>
      <w:r>
        <w:rPr>
          <w:rFonts w:hint="eastAsia" w:ascii="宋体" w:hAnsi="宋体" w:cs="宋体"/>
          <w:b/>
          <w:kern w:val="0"/>
          <w:szCs w:val="21"/>
          <w:u w:val="single"/>
        </w:rPr>
        <w:t>按发包人要求提供</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竣工结算申请单应包括的内容：</w:t>
      </w:r>
      <w:r>
        <w:rPr>
          <w:rFonts w:hint="eastAsia" w:ascii="宋体" w:hAnsi="宋体" w:cs="宋体"/>
          <w:b/>
          <w:kern w:val="0"/>
          <w:szCs w:val="21"/>
          <w:u w:val="single"/>
        </w:rPr>
        <w:t>按发包人及有关部门要求提供</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14.2 竣工结算审核</w:t>
      </w:r>
    </w:p>
    <w:p>
      <w:pPr>
        <w:ind w:firstLine="420" w:firstLineChars="200"/>
        <w:jc w:val="left"/>
        <w:rPr>
          <w:rFonts w:ascii="宋体" w:hAnsi="宋体" w:cs="宋体"/>
          <w:szCs w:val="21"/>
        </w:rPr>
      </w:pPr>
      <w:r>
        <w:rPr>
          <w:rFonts w:hint="eastAsia" w:ascii="宋体" w:hAnsi="宋体" w:cs="宋体"/>
          <w:szCs w:val="21"/>
        </w:rPr>
        <w:t>发包人审批竣工付款申请单的期限：</w:t>
      </w:r>
      <w:r>
        <w:rPr>
          <w:rFonts w:hint="eastAsia" w:ascii="宋体" w:hAnsi="宋体" w:cs="宋体"/>
          <w:b/>
          <w:kern w:val="0"/>
          <w:szCs w:val="21"/>
          <w:u w:val="single"/>
        </w:rPr>
        <w:t>/</w:t>
      </w:r>
      <w:r>
        <w:rPr>
          <w:rFonts w:hint="eastAsia" w:ascii="宋体" w:hAnsi="宋体" w:cs="宋体"/>
          <w:szCs w:val="21"/>
        </w:rPr>
        <w:t>。</w:t>
      </w:r>
    </w:p>
    <w:p>
      <w:pPr>
        <w:ind w:firstLine="420" w:firstLineChars="200"/>
        <w:jc w:val="left"/>
        <w:rPr>
          <w:rFonts w:ascii="宋体" w:hAnsi="宋体" w:cs="宋体"/>
          <w:b/>
          <w:kern w:val="0"/>
          <w:szCs w:val="21"/>
          <w:u w:val="single"/>
        </w:rPr>
      </w:pPr>
      <w:r>
        <w:rPr>
          <w:rFonts w:hint="eastAsia" w:ascii="宋体" w:hAnsi="宋体" w:cs="宋体"/>
          <w:szCs w:val="21"/>
        </w:rPr>
        <w:t>发包人完成竣工付款的期限：</w:t>
      </w:r>
      <w:r>
        <w:rPr>
          <w:rFonts w:hint="eastAsia" w:ascii="宋体" w:hAnsi="宋体" w:cs="宋体"/>
          <w:b/>
          <w:kern w:val="0"/>
          <w:szCs w:val="21"/>
          <w:u w:val="single"/>
        </w:rPr>
        <w:t>承包人在工程竣工验收合格后一个月内交齐有关竣工图纸资料、结算文件等送交发包人，发包人在收到结算资料后28天内审核完毕，并向承包人提出完整的核实意见（包括进一步补充资料和修改结算文件），承包人在收到核实意见后的28天内按照发包人提出的合理要求补充资料，修改竣工结算文件，并再次递交给发包人。发包人将竣工结算文件和完整的竣工结算图纸资料，报送</w:t>
      </w:r>
      <w:r>
        <w:rPr>
          <w:rFonts w:hint="eastAsia" w:ascii="宋体" w:hAnsi="宋体" w:cs="宋体"/>
          <w:b/>
          <w:bCs/>
          <w:szCs w:val="21"/>
          <w:u w:val="single"/>
        </w:rPr>
        <w:t>第三方审核单位</w:t>
      </w:r>
      <w:r>
        <w:rPr>
          <w:rFonts w:hint="eastAsia" w:ascii="宋体" w:hAnsi="宋体" w:cs="宋体"/>
          <w:b/>
          <w:kern w:val="0"/>
          <w:szCs w:val="21"/>
          <w:u w:val="single"/>
        </w:rPr>
        <w:t>审定后支付工程款。</w:t>
      </w:r>
    </w:p>
    <w:p>
      <w:pPr>
        <w:ind w:firstLine="420" w:firstLineChars="200"/>
        <w:jc w:val="left"/>
        <w:rPr>
          <w:rFonts w:ascii="宋体" w:hAnsi="宋体" w:cs="宋体"/>
          <w:szCs w:val="21"/>
        </w:rPr>
      </w:pPr>
      <w:r>
        <w:rPr>
          <w:rFonts w:hint="eastAsia" w:ascii="宋体" w:hAnsi="宋体" w:cs="宋体"/>
          <w:szCs w:val="21"/>
        </w:rPr>
        <w:t>关于竣工付款证书异议部分复核的方式和程序：</w:t>
      </w:r>
      <w:r>
        <w:rPr>
          <w:rFonts w:hint="eastAsia" w:ascii="宋体" w:hAnsi="宋体" w:cs="宋体"/>
          <w:b/>
          <w:kern w:val="0"/>
          <w:szCs w:val="21"/>
          <w:u w:val="single"/>
        </w:rPr>
        <w:t>/</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14.4 最终结清</w:t>
      </w:r>
    </w:p>
    <w:p>
      <w:pPr>
        <w:ind w:firstLine="420" w:firstLineChars="200"/>
        <w:jc w:val="left"/>
        <w:rPr>
          <w:rFonts w:ascii="宋体" w:hAnsi="宋体" w:cs="宋体"/>
          <w:kern w:val="0"/>
          <w:szCs w:val="21"/>
        </w:rPr>
      </w:pPr>
      <w:r>
        <w:rPr>
          <w:rFonts w:hint="eastAsia" w:ascii="宋体" w:hAnsi="宋体" w:cs="宋体"/>
          <w:kern w:val="0"/>
          <w:szCs w:val="21"/>
        </w:rPr>
        <w:t>14.4.1 最终结清申请单</w:t>
      </w:r>
    </w:p>
    <w:p>
      <w:pPr>
        <w:ind w:firstLine="420" w:firstLineChars="200"/>
        <w:jc w:val="left"/>
        <w:rPr>
          <w:rFonts w:ascii="宋体" w:hAnsi="宋体" w:cs="宋体"/>
          <w:kern w:val="0"/>
          <w:szCs w:val="21"/>
        </w:rPr>
      </w:pPr>
      <w:r>
        <w:rPr>
          <w:rFonts w:hint="eastAsia" w:ascii="宋体" w:hAnsi="宋体" w:cs="宋体"/>
          <w:kern w:val="0"/>
          <w:szCs w:val="21"/>
        </w:rPr>
        <w:t>承包人提交最终结清申请单的份数：</w:t>
      </w:r>
      <w:r>
        <w:rPr>
          <w:rFonts w:hint="eastAsia" w:ascii="宋体" w:hAnsi="宋体" w:cs="宋体"/>
          <w:b/>
          <w:szCs w:val="21"/>
          <w:u w:val="single"/>
        </w:rPr>
        <w:t>一</w:t>
      </w:r>
      <w:r>
        <w:rPr>
          <w:rFonts w:hint="eastAsia" w:ascii="宋体" w:hAnsi="宋体" w:cs="宋体"/>
          <w:b/>
          <w:kern w:val="0"/>
          <w:szCs w:val="21"/>
          <w:u w:val="single"/>
        </w:rPr>
        <w:t>式四份</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kern w:val="0"/>
          <w:szCs w:val="21"/>
        </w:rPr>
        <w:t>承包人提交最终结算申请单的期限：</w:t>
      </w:r>
      <w:r>
        <w:rPr>
          <w:rFonts w:hint="eastAsia" w:ascii="宋体" w:hAnsi="宋体" w:cs="宋体"/>
          <w:b/>
          <w:kern w:val="0"/>
          <w:szCs w:val="21"/>
          <w:u w:val="single"/>
        </w:rPr>
        <w:t>按发包人要求提供</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14.4.2 最终结清证书和支付</w:t>
      </w:r>
    </w:p>
    <w:p>
      <w:pPr>
        <w:ind w:firstLine="420" w:firstLineChars="200"/>
        <w:jc w:val="left"/>
        <w:rPr>
          <w:rFonts w:ascii="宋体" w:hAnsi="宋体" w:cs="宋体"/>
          <w:szCs w:val="21"/>
        </w:rPr>
      </w:pPr>
      <w:r>
        <w:rPr>
          <w:rFonts w:hint="eastAsia" w:ascii="宋体" w:hAnsi="宋体" w:cs="宋体"/>
          <w:szCs w:val="21"/>
        </w:rPr>
        <w:t>（1）发包人完成最终结清申请单的审批并颁发最终结清证书的期限：</w:t>
      </w:r>
      <w:r>
        <w:rPr>
          <w:rFonts w:hint="eastAsia" w:ascii="宋体" w:hAnsi="宋体" w:cs="宋体"/>
          <w:b/>
          <w:kern w:val="0"/>
          <w:szCs w:val="21"/>
          <w:u w:val="single"/>
        </w:rPr>
        <w:t>/</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（2）发包人完成支付的期限：</w:t>
      </w:r>
      <w:r>
        <w:rPr>
          <w:rFonts w:hint="eastAsia" w:ascii="宋体" w:hAnsi="宋体" w:cs="宋体"/>
          <w:b/>
          <w:szCs w:val="21"/>
          <w:u w:val="single"/>
        </w:rPr>
        <w:t>发包人将竣工结算文件和完整的竣工结算图纸资料，报送</w:t>
      </w:r>
      <w:r>
        <w:rPr>
          <w:rFonts w:hint="eastAsia" w:ascii="宋体" w:hAnsi="宋体" w:cs="宋体"/>
          <w:b/>
          <w:bCs/>
          <w:szCs w:val="21"/>
          <w:u w:val="single"/>
        </w:rPr>
        <w:t>第三方审核单位</w:t>
      </w:r>
      <w:r>
        <w:rPr>
          <w:rFonts w:hint="eastAsia" w:ascii="宋体" w:hAnsi="宋体" w:cs="宋体"/>
          <w:b/>
          <w:szCs w:val="21"/>
          <w:u w:val="single"/>
        </w:rPr>
        <w:t>审定后按国库集中支付方式支付工程款</w:t>
      </w:r>
      <w:r>
        <w:rPr>
          <w:rFonts w:hint="eastAsia" w:ascii="宋体" w:hAnsi="宋体" w:cs="宋体"/>
          <w:szCs w:val="21"/>
        </w:rPr>
        <w:t>。</w:t>
      </w:r>
    </w:p>
    <w:p>
      <w:pPr>
        <w:pStyle w:val="7"/>
        <w:tabs>
          <w:tab w:val="left" w:pos="864"/>
        </w:tabs>
        <w:ind w:hanging="862"/>
        <w:rPr>
          <w:rFonts w:ascii="宋体" w:hAnsi="宋体" w:cs="宋体"/>
          <w:bCs w:val="0"/>
          <w:sz w:val="21"/>
          <w:szCs w:val="21"/>
        </w:rPr>
      </w:pPr>
      <w:r>
        <w:rPr>
          <w:rFonts w:hint="eastAsia" w:ascii="宋体" w:hAnsi="宋体" w:cs="宋体"/>
          <w:bCs w:val="0"/>
          <w:sz w:val="21"/>
          <w:szCs w:val="21"/>
        </w:rPr>
        <w:t>15. 缺陷责任期与保修</w:t>
      </w:r>
    </w:p>
    <w:p>
      <w:pPr>
        <w:ind w:firstLine="420" w:firstLineChars="200"/>
        <w:rPr>
          <w:rFonts w:ascii="宋体" w:hAnsi="宋体" w:cs="宋体"/>
          <w:szCs w:val="21"/>
        </w:rPr>
      </w:pPr>
      <w:r>
        <w:rPr>
          <w:rFonts w:hint="eastAsia" w:ascii="宋体" w:hAnsi="宋体" w:cs="宋体"/>
          <w:szCs w:val="21"/>
        </w:rPr>
        <w:t>15.2缺陷责任期</w:t>
      </w:r>
    </w:p>
    <w:p>
      <w:pPr>
        <w:ind w:firstLine="420" w:firstLineChars="200"/>
        <w:jc w:val="left"/>
        <w:rPr>
          <w:rFonts w:ascii="宋体" w:hAnsi="宋体" w:cs="宋体"/>
          <w:szCs w:val="21"/>
        </w:rPr>
      </w:pPr>
      <w:r>
        <w:rPr>
          <w:rFonts w:hint="eastAsia" w:ascii="宋体" w:hAnsi="宋体" w:cs="宋体"/>
          <w:szCs w:val="21"/>
        </w:rPr>
        <w:t>缺陷责任期的具体期限：</w:t>
      </w:r>
      <w:r>
        <w:rPr>
          <w:rFonts w:hint="eastAsia" w:ascii="宋体" w:hAnsi="宋体" w:cs="宋体"/>
          <w:b/>
          <w:szCs w:val="21"/>
          <w:u w:val="single"/>
        </w:rPr>
        <w:t>缺陷责任期自工程竣工验收合格之日起贰年</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15.3 质量保证金</w:t>
      </w:r>
    </w:p>
    <w:p>
      <w:pPr>
        <w:ind w:firstLine="420" w:firstLineChars="200"/>
        <w:jc w:val="left"/>
        <w:rPr>
          <w:rFonts w:ascii="宋体" w:hAnsi="宋体" w:cs="宋体"/>
          <w:szCs w:val="21"/>
        </w:rPr>
      </w:pPr>
      <w:r>
        <w:rPr>
          <w:rFonts w:hint="eastAsia" w:ascii="宋体" w:hAnsi="宋体" w:cs="宋体"/>
          <w:szCs w:val="21"/>
        </w:rPr>
        <w:t>关于是否扣留质量保证金的约定：</w:t>
      </w:r>
      <w:r>
        <w:rPr>
          <w:rFonts w:hint="eastAsia" w:ascii="宋体" w:hAnsi="宋体" w:cs="宋体"/>
          <w:b/>
          <w:szCs w:val="21"/>
          <w:u w:val="single"/>
        </w:rPr>
        <w:t>发包人将按该比例在结算价款中扣留（</w:t>
      </w:r>
      <w:bookmarkStart w:id="525" w:name="_Hlk139380468"/>
      <w:r>
        <w:rPr>
          <w:rFonts w:hint="eastAsia" w:ascii="宋体" w:hAnsi="宋体" w:cs="宋体"/>
          <w:b/>
          <w:szCs w:val="21"/>
          <w:u w:val="single"/>
        </w:rPr>
        <w:t>工程结算造价的3%</w:t>
      </w:r>
      <w:bookmarkEnd w:id="525"/>
      <w:r>
        <w:rPr>
          <w:rFonts w:hint="eastAsia" w:ascii="宋体" w:hAnsi="宋体" w:cs="宋体"/>
          <w:b/>
          <w:szCs w:val="21"/>
          <w:u w:val="single"/>
        </w:rPr>
        <w:t>）；或结算款不扣留，但须提供工程结算造价3%金额的银行保函或工程质量保证担保或工程质量保险作为质量保证金</w:t>
      </w:r>
      <w:r>
        <w:rPr>
          <w:rFonts w:hint="eastAsia" w:ascii="宋体" w:hAnsi="宋体" w:cs="宋体"/>
          <w:szCs w:val="21"/>
        </w:rPr>
        <w:t>。在工程项目竣工前，承包人按专用合同条款第3.7条提供履约担保的，发包人不得同时预留工程质量保证金。</w:t>
      </w:r>
    </w:p>
    <w:p>
      <w:pPr>
        <w:ind w:firstLine="420" w:firstLineChars="200"/>
        <w:rPr>
          <w:rFonts w:ascii="宋体" w:hAnsi="宋体" w:cs="宋体"/>
          <w:szCs w:val="21"/>
        </w:rPr>
      </w:pPr>
      <w:r>
        <w:rPr>
          <w:rFonts w:hint="eastAsia" w:ascii="宋体" w:hAnsi="宋体" w:cs="宋体"/>
          <w:szCs w:val="21"/>
        </w:rPr>
        <w:t>15.3.1 承包人提供质量保证金的方式</w:t>
      </w:r>
    </w:p>
    <w:p>
      <w:pPr>
        <w:ind w:firstLine="420" w:firstLineChars="200"/>
        <w:jc w:val="left"/>
        <w:rPr>
          <w:rFonts w:ascii="宋体" w:hAnsi="宋体" w:cs="宋体"/>
          <w:szCs w:val="21"/>
        </w:rPr>
      </w:pPr>
      <w:r>
        <w:rPr>
          <w:rFonts w:hint="eastAsia" w:ascii="宋体" w:hAnsi="宋体" w:cs="宋体"/>
          <w:szCs w:val="21"/>
        </w:rPr>
        <w:t>质量保证金采用以下第</w:t>
      </w:r>
      <w:r>
        <w:rPr>
          <w:rFonts w:hint="eastAsia" w:ascii="宋体" w:hAnsi="宋体" w:cs="宋体"/>
          <w:kern w:val="0"/>
          <w:szCs w:val="21"/>
          <w:u w:val="single"/>
        </w:rPr>
        <w:t>（1）或（2）或（3）</w:t>
      </w:r>
      <w:r>
        <w:rPr>
          <w:rFonts w:hint="eastAsia" w:ascii="宋体" w:hAnsi="宋体" w:cs="宋体"/>
          <w:szCs w:val="21"/>
        </w:rPr>
        <w:t>种方式：</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（1）质量保证金保函，银行保函的保证金额为：</w:t>
      </w:r>
      <w:r>
        <w:rPr>
          <w:rFonts w:hint="eastAsia" w:ascii="宋体" w:hAnsi="宋体" w:cs="宋体"/>
          <w:b/>
          <w:szCs w:val="21"/>
          <w:u w:val="single"/>
        </w:rPr>
        <w:t>工程结算造价3%</w:t>
      </w:r>
      <w:r>
        <w:rPr>
          <w:rFonts w:hint="eastAsia" w:ascii="宋体" w:hAnsi="宋体" w:cs="宋体"/>
          <w:kern w:val="0"/>
          <w:szCs w:val="21"/>
        </w:rPr>
        <w:t>；</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（2）</w:t>
      </w:r>
      <w:r>
        <w:rPr>
          <w:rFonts w:hint="eastAsia" w:ascii="宋体" w:hAnsi="宋体" w:cs="宋体"/>
          <w:b/>
          <w:szCs w:val="21"/>
          <w:u w:val="single"/>
        </w:rPr>
        <w:t>3</w:t>
      </w:r>
      <w:r>
        <w:rPr>
          <w:rFonts w:hint="eastAsia" w:ascii="宋体" w:hAnsi="宋体" w:cs="宋体"/>
          <w:kern w:val="0"/>
          <w:szCs w:val="21"/>
        </w:rPr>
        <w:t>%的工程款；</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（3）其他方式:</w:t>
      </w:r>
      <w:r>
        <w:rPr>
          <w:rFonts w:hint="eastAsia" w:ascii="宋体" w:hAnsi="宋体" w:cs="宋体"/>
          <w:b/>
          <w:szCs w:val="21"/>
          <w:u w:val="single"/>
        </w:rPr>
        <w:t xml:space="preserve"> 工程结算造价3%金额的工程质量保证担保或工程质量保险。</w:t>
      </w:r>
    </w:p>
    <w:p>
      <w:pPr>
        <w:ind w:firstLine="420" w:firstLineChars="200"/>
        <w:rPr>
          <w:rFonts w:ascii="宋体" w:hAnsi="宋体" w:cs="宋体"/>
          <w:szCs w:val="21"/>
        </w:rPr>
      </w:pPr>
      <w:r>
        <w:rPr>
          <w:rFonts w:hint="eastAsia" w:ascii="宋体" w:hAnsi="宋体" w:cs="宋体"/>
          <w:szCs w:val="21"/>
        </w:rPr>
        <w:t>15.3.2 质量保证金的扣留</w:t>
      </w:r>
    </w:p>
    <w:p>
      <w:pPr>
        <w:ind w:firstLine="420" w:firstLineChars="200"/>
        <w:jc w:val="left"/>
        <w:rPr>
          <w:rFonts w:ascii="宋体" w:hAnsi="宋体" w:cs="宋体"/>
          <w:szCs w:val="21"/>
        </w:rPr>
      </w:pPr>
      <w:r>
        <w:rPr>
          <w:rFonts w:hint="eastAsia" w:ascii="宋体" w:hAnsi="宋体" w:cs="宋体"/>
          <w:szCs w:val="21"/>
        </w:rPr>
        <w:t>质量保证金的扣留采取以下第</w:t>
      </w:r>
      <w:r>
        <w:rPr>
          <w:rFonts w:hint="eastAsia" w:ascii="宋体" w:hAnsi="宋体" w:cs="宋体"/>
          <w:kern w:val="0"/>
          <w:szCs w:val="21"/>
          <w:u w:val="single"/>
        </w:rPr>
        <w:t>（2）或（3）</w:t>
      </w:r>
      <w:r>
        <w:rPr>
          <w:rFonts w:hint="eastAsia" w:ascii="宋体" w:hAnsi="宋体" w:cs="宋体"/>
          <w:szCs w:val="21"/>
        </w:rPr>
        <w:t>种方式：</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（1）在支付工程进度款时逐次扣留，在此情形下，质量保证金的计算基数不包括预付款的支付、扣回以及价格调整的金额；</w:t>
      </w:r>
    </w:p>
    <w:p>
      <w:pPr>
        <w:ind w:firstLine="420" w:firstLineChars="200"/>
        <w:rPr>
          <w:rFonts w:ascii="宋体" w:hAnsi="宋体" w:cs="宋体"/>
          <w:kern w:val="0"/>
          <w:szCs w:val="21"/>
        </w:rPr>
      </w:pPr>
      <w:r>
        <w:rPr>
          <w:rFonts w:hint="eastAsia" w:ascii="宋体" w:hAnsi="宋体" w:cs="宋体"/>
          <w:kern w:val="0"/>
          <w:szCs w:val="21"/>
        </w:rPr>
        <w:t>（2）工程竣工结算时一次性扣留质量保证金；</w:t>
      </w:r>
    </w:p>
    <w:p>
      <w:pPr>
        <w:autoSpaceDE w:val="0"/>
        <w:autoSpaceDN w:val="0"/>
        <w:adjustRightInd w:val="0"/>
        <w:ind w:firstLine="420" w:firstLineChars="200"/>
        <w:jc w:val="left"/>
        <w:rPr>
          <w:rFonts w:ascii="宋体" w:hAnsi="宋体" w:cs="宋体"/>
          <w:kern w:val="0"/>
          <w:szCs w:val="21"/>
        </w:rPr>
      </w:pPr>
      <w:r>
        <w:rPr>
          <w:rFonts w:hint="eastAsia" w:ascii="宋体" w:hAnsi="宋体" w:cs="宋体"/>
          <w:kern w:val="0"/>
          <w:szCs w:val="21"/>
        </w:rPr>
        <w:t>（3）其他扣留方式:</w:t>
      </w:r>
      <w:r>
        <w:rPr>
          <w:rFonts w:hint="eastAsia" w:ascii="宋体" w:hAnsi="宋体" w:cs="宋体"/>
          <w:b/>
          <w:szCs w:val="21"/>
          <w:u w:val="single"/>
        </w:rPr>
        <w:t xml:space="preserve"> 如采用银行保函或工程质量保证担保或工程质量保险作为质量保证金的，结算款不作扣留  </w:t>
      </w:r>
      <w:r>
        <w:rPr>
          <w:rFonts w:hint="eastAsia" w:ascii="宋体" w:hAnsi="宋体" w:cs="宋体"/>
          <w:kern w:val="0"/>
          <w:szCs w:val="21"/>
        </w:rPr>
        <w:t>。</w:t>
      </w:r>
    </w:p>
    <w:p>
      <w:pPr>
        <w:ind w:firstLine="420" w:firstLineChars="200"/>
        <w:jc w:val="left"/>
        <w:rPr>
          <w:rFonts w:ascii="宋体" w:hAnsi="宋体" w:cs="宋体"/>
          <w:b/>
          <w:szCs w:val="21"/>
          <w:u w:val="single"/>
        </w:rPr>
      </w:pPr>
      <w:r>
        <w:rPr>
          <w:rFonts w:hint="eastAsia" w:ascii="宋体" w:hAnsi="宋体" w:cs="宋体"/>
          <w:szCs w:val="21"/>
        </w:rPr>
        <w:t>关于质量保证金的补充约定：</w:t>
      </w:r>
      <w:r>
        <w:rPr>
          <w:rFonts w:hint="eastAsia" w:ascii="宋体" w:hAnsi="宋体" w:cs="宋体"/>
          <w:b/>
          <w:szCs w:val="21"/>
          <w:u w:val="single"/>
        </w:rPr>
        <w:t>工程竣工验收合格之日起1年后10天内发包人无息返还保修金的70%给承包人；工程竣工验收合格之日起2年后10天内发包人无息返还余下保修金的30%给承包人。</w:t>
      </w:r>
    </w:p>
    <w:p>
      <w:pPr>
        <w:ind w:firstLine="420" w:firstLineChars="200"/>
        <w:rPr>
          <w:rFonts w:ascii="宋体" w:hAnsi="宋体" w:cs="宋体"/>
          <w:szCs w:val="21"/>
        </w:rPr>
      </w:pPr>
      <w:r>
        <w:rPr>
          <w:rFonts w:hint="eastAsia" w:ascii="宋体" w:hAnsi="宋体" w:cs="宋体"/>
          <w:szCs w:val="21"/>
        </w:rPr>
        <w:t>15.4保修</w:t>
      </w:r>
    </w:p>
    <w:p>
      <w:pPr>
        <w:ind w:firstLine="420" w:firstLineChars="200"/>
        <w:jc w:val="left"/>
        <w:rPr>
          <w:rFonts w:ascii="宋体" w:hAnsi="宋体" w:cs="宋体"/>
          <w:szCs w:val="21"/>
        </w:rPr>
      </w:pPr>
      <w:r>
        <w:rPr>
          <w:rFonts w:hint="eastAsia" w:ascii="宋体" w:hAnsi="宋体" w:cs="宋体"/>
          <w:szCs w:val="21"/>
        </w:rPr>
        <w:t>15.4.1 保修责任</w:t>
      </w:r>
    </w:p>
    <w:p>
      <w:pPr>
        <w:ind w:firstLine="420" w:firstLineChars="200"/>
        <w:jc w:val="left"/>
        <w:rPr>
          <w:rFonts w:ascii="宋体" w:hAnsi="宋体" w:cs="宋体"/>
          <w:kern w:val="0"/>
          <w:szCs w:val="21"/>
        </w:rPr>
      </w:pPr>
      <w:r>
        <w:rPr>
          <w:rFonts w:hint="eastAsia" w:ascii="宋体" w:hAnsi="宋体" w:cs="宋体"/>
          <w:szCs w:val="21"/>
        </w:rPr>
        <w:t>工程保修期为：</w:t>
      </w:r>
      <w:r>
        <w:rPr>
          <w:rFonts w:hint="eastAsia" w:ascii="宋体" w:hAnsi="宋体" w:cs="宋体"/>
          <w:b/>
          <w:szCs w:val="21"/>
          <w:u w:val="single"/>
        </w:rPr>
        <w:t>承包人应当根据有关法律规定以及合同约定承担保修责任。</w:t>
      </w:r>
    </w:p>
    <w:p>
      <w:pPr>
        <w:ind w:firstLine="420" w:firstLineChars="200"/>
        <w:jc w:val="left"/>
        <w:rPr>
          <w:rFonts w:ascii="宋体" w:hAnsi="宋体" w:cs="宋体"/>
          <w:szCs w:val="21"/>
        </w:rPr>
      </w:pPr>
      <w:r>
        <w:rPr>
          <w:rFonts w:hint="eastAsia" w:ascii="宋体" w:hAnsi="宋体" w:cs="宋体"/>
          <w:szCs w:val="21"/>
        </w:rPr>
        <w:t>15.4.3 修复通知</w:t>
      </w:r>
    </w:p>
    <w:p>
      <w:pPr>
        <w:ind w:firstLine="420" w:firstLineChars="200"/>
        <w:jc w:val="left"/>
        <w:rPr>
          <w:rFonts w:ascii="宋体" w:hAnsi="宋体" w:cs="宋体"/>
          <w:kern w:val="0"/>
          <w:szCs w:val="21"/>
        </w:rPr>
      </w:pPr>
      <w:r>
        <w:rPr>
          <w:rFonts w:hint="eastAsia" w:ascii="宋体" w:hAnsi="宋体" w:cs="宋体"/>
          <w:kern w:val="0"/>
          <w:szCs w:val="21"/>
        </w:rPr>
        <w:t>承包人收到保修通知并到达工程现场的合理时间：</w:t>
      </w:r>
      <w:r>
        <w:rPr>
          <w:rFonts w:hint="eastAsia" w:ascii="宋体" w:hAnsi="宋体" w:cs="宋体"/>
          <w:b/>
          <w:szCs w:val="21"/>
          <w:u w:val="single"/>
        </w:rPr>
        <w:t>紧急情况接到发包人口头通知后立即到达工程现场，一般情况24小时内到达</w:t>
      </w:r>
      <w:r>
        <w:rPr>
          <w:rFonts w:hint="eastAsia" w:ascii="宋体" w:hAnsi="宋体" w:cs="宋体"/>
          <w:kern w:val="0"/>
          <w:szCs w:val="21"/>
        </w:rPr>
        <w:t>。</w:t>
      </w:r>
    </w:p>
    <w:p>
      <w:pPr>
        <w:pStyle w:val="7"/>
        <w:tabs>
          <w:tab w:val="left" w:pos="864"/>
        </w:tabs>
        <w:ind w:hanging="862"/>
        <w:rPr>
          <w:rFonts w:ascii="宋体" w:hAnsi="宋体" w:cs="宋体"/>
          <w:bCs w:val="0"/>
          <w:sz w:val="21"/>
          <w:szCs w:val="21"/>
        </w:rPr>
      </w:pPr>
      <w:r>
        <w:rPr>
          <w:rFonts w:hint="eastAsia" w:ascii="宋体" w:hAnsi="宋体" w:cs="宋体"/>
          <w:bCs w:val="0"/>
          <w:sz w:val="21"/>
          <w:szCs w:val="21"/>
        </w:rPr>
        <w:t>16. 违约</w:t>
      </w:r>
    </w:p>
    <w:p>
      <w:pPr>
        <w:ind w:firstLine="420" w:firstLineChars="200"/>
        <w:rPr>
          <w:rFonts w:ascii="宋体" w:hAnsi="宋体" w:cs="宋体"/>
          <w:szCs w:val="21"/>
        </w:rPr>
      </w:pPr>
      <w:r>
        <w:rPr>
          <w:rFonts w:hint="eastAsia" w:ascii="宋体" w:hAnsi="宋体" w:cs="宋体"/>
          <w:szCs w:val="21"/>
        </w:rPr>
        <w:t>16.1 发包人违约</w:t>
      </w:r>
    </w:p>
    <w:p>
      <w:pPr>
        <w:ind w:firstLine="420" w:firstLineChars="200"/>
        <w:jc w:val="left"/>
        <w:rPr>
          <w:rFonts w:ascii="宋体" w:hAnsi="宋体" w:cs="宋体"/>
          <w:szCs w:val="21"/>
        </w:rPr>
      </w:pPr>
      <w:r>
        <w:rPr>
          <w:rFonts w:hint="eastAsia" w:ascii="宋体" w:hAnsi="宋体" w:cs="宋体"/>
          <w:szCs w:val="21"/>
        </w:rPr>
        <w:t>16.1.1发包人违约的情形</w:t>
      </w:r>
    </w:p>
    <w:p>
      <w:pPr>
        <w:ind w:firstLine="420" w:firstLineChars="200"/>
        <w:jc w:val="left"/>
        <w:rPr>
          <w:rFonts w:ascii="宋体" w:hAnsi="宋体" w:cs="宋体"/>
          <w:kern w:val="0"/>
          <w:szCs w:val="21"/>
        </w:rPr>
      </w:pPr>
      <w:r>
        <w:rPr>
          <w:rFonts w:hint="eastAsia" w:ascii="宋体" w:hAnsi="宋体" w:cs="宋体"/>
          <w:kern w:val="0"/>
          <w:szCs w:val="21"/>
        </w:rPr>
        <w:t>发包人违约的其他情形：</w:t>
      </w:r>
      <w:r>
        <w:rPr>
          <w:rFonts w:hint="eastAsia" w:ascii="宋体" w:hAnsi="宋体" w:cs="宋体"/>
          <w:b/>
          <w:szCs w:val="21"/>
          <w:u w:val="single"/>
        </w:rPr>
        <w:t xml:space="preserve"> /  </w:t>
      </w:r>
      <w:r>
        <w:rPr>
          <w:rFonts w:hint="eastAsia" w:ascii="宋体" w:hAnsi="宋体" w:cs="宋体"/>
          <w:kern w:val="0"/>
          <w:szCs w:val="21"/>
        </w:rPr>
        <w:t>。</w:t>
      </w:r>
    </w:p>
    <w:p>
      <w:pPr>
        <w:ind w:firstLine="420" w:firstLineChars="200"/>
        <w:jc w:val="left"/>
        <w:rPr>
          <w:rFonts w:ascii="宋体" w:hAnsi="宋体" w:cs="宋体"/>
          <w:kern w:val="0"/>
          <w:szCs w:val="21"/>
        </w:rPr>
      </w:pPr>
      <w:r>
        <w:rPr>
          <w:rFonts w:hint="eastAsia" w:ascii="宋体" w:hAnsi="宋体" w:cs="宋体"/>
          <w:kern w:val="0"/>
          <w:szCs w:val="21"/>
        </w:rPr>
        <w:t>16.1.2 发包人违约的责任</w:t>
      </w:r>
    </w:p>
    <w:p>
      <w:pPr>
        <w:ind w:firstLine="420" w:firstLineChars="200"/>
        <w:jc w:val="left"/>
        <w:rPr>
          <w:rFonts w:ascii="宋体" w:hAnsi="宋体" w:cs="宋体"/>
          <w:kern w:val="0"/>
          <w:szCs w:val="21"/>
        </w:rPr>
      </w:pPr>
      <w:r>
        <w:rPr>
          <w:rFonts w:hint="eastAsia" w:ascii="宋体" w:hAnsi="宋体" w:cs="宋体"/>
          <w:kern w:val="0"/>
          <w:szCs w:val="21"/>
        </w:rPr>
        <w:t>发包人违约责任的承担方式和计算方法：</w:t>
      </w:r>
    </w:p>
    <w:p>
      <w:pPr>
        <w:ind w:firstLine="420" w:firstLineChars="200"/>
        <w:jc w:val="left"/>
        <w:rPr>
          <w:rFonts w:ascii="宋体" w:hAnsi="宋体" w:cs="宋体"/>
          <w:kern w:val="0"/>
          <w:szCs w:val="21"/>
          <w:u w:val="single"/>
        </w:rPr>
      </w:pPr>
      <w:r>
        <w:rPr>
          <w:rFonts w:hint="eastAsia" w:ascii="宋体" w:hAnsi="宋体" w:cs="宋体"/>
          <w:kern w:val="0"/>
          <w:szCs w:val="21"/>
        </w:rPr>
        <w:t>（1）因发包人原因未能在计划开工日期前7天内下达开工通知的违约责任：</w:t>
      </w:r>
      <w:r>
        <w:rPr>
          <w:rFonts w:hint="eastAsia" w:ascii="宋体" w:hAnsi="宋体" w:cs="宋体"/>
          <w:b/>
          <w:szCs w:val="21"/>
          <w:u w:val="single"/>
        </w:rPr>
        <w:t xml:space="preserve">/ </w:t>
      </w:r>
      <w:r>
        <w:rPr>
          <w:rFonts w:hint="eastAsia" w:ascii="宋体" w:hAnsi="宋体" w:cs="宋体"/>
          <w:kern w:val="0"/>
          <w:szCs w:val="21"/>
        </w:rPr>
        <w:t>。</w:t>
      </w:r>
    </w:p>
    <w:p>
      <w:pPr>
        <w:ind w:firstLine="420" w:firstLineChars="200"/>
        <w:jc w:val="left"/>
        <w:rPr>
          <w:rFonts w:ascii="宋体" w:hAnsi="宋体" w:cs="宋体"/>
          <w:kern w:val="0"/>
          <w:szCs w:val="21"/>
        </w:rPr>
      </w:pPr>
      <w:r>
        <w:rPr>
          <w:rFonts w:hint="eastAsia" w:ascii="宋体" w:hAnsi="宋体" w:cs="宋体"/>
          <w:kern w:val="0"/>
          <w:szCs w:val="21"/>
        </w:rPr>
        <w:t>（2）因发包人原因未能按合同约定支付合同价款的违约责任：</w:t>
      </w:r>
      <w:r>
        <w:rPr>
          <w:rFonts w:hint="eastAsia" w:ascii="宋体" w:hAnsi="宋体" w:cs="宋体"/>
          <w:b/>
          <w:szCs w:val="21"/>
          <w:u w:val="single"/>
        </w:rPr>
        <w:t xml:space="preserve">/ </w:t>
      </w:r>
      <w:r>
        <w:rPr>
          <w:rFonts w:hint="eastAsia" w:ascii="宋体" w:hAnsi="宋体" w:cs="宋体"/>
          <w:kern w:val="0"/>
          <w:szCs w:val="21"/>
        </w:rPr>
        <w:t>。</w:t>
      </w:r>
    </w:p>
    <w:p>
      <w:pPr>
        <w:ind w:firstLine="420" w:firstLineChars="200"/>
        <w:jc w:val="left"/>
        <w:rPr>
          <w:rFonts w:ascii="宋体" w:hAnsi="宋体" w:cs="宋体"/>
          <w:kern w:val="0"/>
          <w:szCs w:val="21"/>
        </w:rPr>
      </w:pPr>
      <w:r>
        <w:rPr>
          <w:rFonts w:hint="eastAsia" w:ascii="宋体" w:hAnsi="宋体" w:cs="宋体"/>
          <w:kern w:val="0"/>
          <w:szCs w:val="21"/>
        </w:rPr>
        <w:t>（3）发包人违反第10.1款〔变更的范围〕第（2）项约定，自行实施被取消的工作或转由他人实施的违约责任：</w:t>
      </w:r>
      <w:r>
        <w:rPr>
          <w:rFonts w:hint="eastAsia" w:ascii="宋体" w:hAnsi="宋体" w:cs="宋体"/>
          <w:b/>
          <w:szCs w:val="21"/>
          <w:u w:val="single"/>
        </w:rPr>
        <w:t xml:space="preserve">/ </w:t>
      </w:r>
      <w:r>
        <w:rPr>
          <w:rFonts w:hint="eastAsia" w:ascii="宋体" w:hAnsi="宋体" w:cs="宋体"/>
          <w:kern w:val="0"/>
          <w:szCs w:val="21"/>
        </w:rPr>
        <w:t>。</w:t>
      </w:r>
    </w:p>
    <w:p>
      <w:pPr>
        <w:ind w:firstLine="420" w:firstLineChars="200"/>
        <w:jc w:val="left"/>
        <w:rPr>
          <w:rFonts w:ascii="宋体" w:hAnsi="宋体" w:cs="宋体"/>
          <w:kern w:val="0"/>
          <w:szCs w:val="21"/>
        </w:rPr>
      </w:pPr>
      <w:r>
        <w:rPr>
          <w:rFonts w:hint="eastAsia" w:ascii="宋体" w:hAnsi="宋体" w:cs="宋体"/>
          <w:kern w:val="0"/>
          <w:szCs w:val="21"/>
        </w:rPr>
        <w:t>（4）发包人提供的材料、工程设备的规格、数量或质量不符合合同约定，或因发包人原因导致交货日期延误或交货地点变更等情况的违约责任：</w:t>
      </w:r>
      <w:r>
        <w:rPr>
          <w:rFonts w:hint="eastAsia" w:ascii="宋体" w:hAnsi="宋体" w:cs="宋体"/>
          <w:b/>
          <w:szCs w:val="21"/>
          <w:u w:val="single"/>
        </w:rPr>
        <w:t xml:space="preserve">/ </w:t>
      </w:r>
      <w:r>
        <w:rPr>
          <w:rFonts w:hint="eastAsia" w:ascii="宋体" w:hAnsi="宋体" w:cs="宋体"/>
          <w:kern w:val="0"/>
          <w:szCs w:val="21"/>
        </w:rPr>
        <w:t>。</w:t>
      </w:r>
    </w:p>
    <w:p>
      <w:pPr>
        <w:ind w:firstLine="420" w:firstLineChars="200"/>
        <w:jc w:val="left"/>
        <w:rPr>
          <w:rFonts w:ascii="宋体" w:hAnsi="宋体" w:cs="宋体"/>
          <w:kern w:val="0"/>
          <w:szCs w:val="21"/>
        </w:rPr>
      </w:pPr>
      <w:r>
        <w:rPr>
          <w:rFonts w:hint="eastAsia" w:ascii="宋体" w:hAnsi="宋体" w:cs="宋体"/>
          <w:kern w:val="0"/>
          <w:szCs w:val="21"/>
        </w:rPr>
        <w:t>（5）因发包人违反合同约定造成暂停施工的违约责任：</w:t>
      </w:r>
      <w:r>
        <w:rPr>
          <w:rFonts w:hint="eastAsia" w:ascii="宋体" w:hAnsi="宋体" w:cs="宋体"/>
          <w:b/>
          <w:szCs w:val="21"/>
          <w:u w:val="single"/>
        </w:rPr>
        <w:t xml:space="preserve">/ </w:t>
      </w:r>
      <w:r>
        <w:rPr>
          <w:rFonts w:hint="eastAsia" w:ascii="宋体" w:hAnsi="宋体" w:cs="宋体"/>
          <w:kern w:val="0"/>
          <w:szCs w:val="21"/>
        </w:rPr>
        <w:t>。</w:t>
      </w:r>
    </w:p>
    <w:p>
      <w:pPr>
        <w:ind w:firstLine="420" w:firstLineChars="200"/>
        <w:jc w:val="left"/>
        <w:rPr>
          <w:rFonts w:ascii="宋体" w:hAnsi="宋体" w:cs="宋体"/>
          <w:kern w:val="0"/>
          <w:szCs w:val="21"/>
        </w:rPr>
      </w:pPr>
      <w:r>
        <w:rPr>
          <w:rFonts w:hint="eastAsia" w:ascii="宋体" w:hAnsi="宋体" w:cs="宋体"/>
          <w:kern w:val="0"/>
          <w:szCs w:val="21"/>
        </w:rPr>
        <w:t>（6）发包人无正当理由没有在约定期限内发出复工指示，导致承包人无法复工的违约责任：</w:t>
      </w:r>
      <w:r>
        <w:rPr>
          <w:rFonts w:hint="eastAsia" w:ascii="宋体" w:hAnsi="宋体" w:cs="宋体"/>
          <w:b/>
          <w:szCs w:val="21"/>
          <w:u w:val="single"/>
        </w:rPr>
        <w:t xml:space="preserve">/ </w:t>
      </w:r>
      <w:r>
        <w:rPr>
          <w:rFonts w:hint="eastAsia" w:ascii="宋体" w:hAnsi="宋体" w:cs="宋体"/>
          <w:kern w:val="0"/>
          <w:szCs w:val="21"/>
        </w:rPr>
        <w:t>。</w:t>
      </w:r>
    </w:p>
    <w:p>
      <w:pPr>
        <w:ind w:firstLine="420" w:firstLineChars="200"/>
        <w:jc w:val="left"/>
        <w:rPr>
          <w:rFonts w:ascii="宋体" w:hAnsi="宋体" w:cs="宋体"/>
          <w:kern w:val="0"/>
          <w:szCs w:val="21"/>
        </w:rPr>
      </w:pPr>
      <w:r>
        <w:rPr>
          <w:rFonts w:hint="eastAsia" w:ascii="宋体" w:hAnsi="宋体" w:cs="宋体"/>
          <w:kern w:val="0"/>
          <w:szCs w:val="21"/>
        </w:rPr>
        <w:t>（7）其他：</w:t>
      </w:r>
      <w:r>
        <w:rPr>
          <w:rFonts w:hint="eastAsia" w:ascii="宋体" w:hAnsi="宋体" w:cs="宋体"/>
          <w:b/>
          <w:szCs w:val="21"/>
          <w:u w:val="single"/>
        </w:rPr>
        <w:t xml:space="preserve">/ </w:t>
      </w:r>
      <w:r>
        <w:rPr>
          <w:rFonts w:hint="eastAsia" w:ascii="宋体" w:hAnsi="宋体" w:cs="宋体"/>
          <w:kern w:val="0"/>
          <w:szCs w:val="21"/>
        </w:rPr>
        <w:t>。</w:t>
      </w:r>
    </w:p>
    <w:p>
      <w:pPr>
        <w:ind w:firstLine="420" w:firstLineChars="200"/>
        <w:jc w:val="left"/>
        <w:rPr>
          <w:rFonts w:ascii="宋体" w:hAnsi="宋体" w:cs="宋体"/>
          <w:szCs w:val="21"/>
        </w:rPr>
      </w:pPr>
      <w:r>
        <w:rPr>
          <w:rFonts w:hint="eastAsia" w:ascii="宋体" w:hAnsi="宋体" w:cs="宋体"/>
          <w:szCs w:val="21"/>
        </w:rPr>
        <w:t>16.1.3 因发包人违约解除合同</w:t>
      </w:r>
    </w:p>
    <w:p>
      <w:pPr>
        <w:ind w:firstLine="420" w:firstLineChars="200"/>
        <w:jc w:val="left"/>
        <w:rPr>
          <w:rFonts w:ascii="宋体" w:hAnsi="宋体" w:cs="宋体"/>
          <w:kern w:val="0"/>
          <w:szCs w:val="21"/>
        </w:rPr>
      </w:pPr>
      <w:r>
        <w:rPr>
          <w:rFonts w:hint="eastAsia" w:ascii="宋体" w:hAnsi="宋体" w:cs="宋体"/>
          <w:kern w:val="0"/>
          <w:szCs w:val="21"/>
        </w:rPr>
        <w:t>承包人按16.1.1项〔发包人违约的情形〕约定暂停施工满</w:t>
      </w:r>
      <w:r>
        <w:rPr>
          <w:rFonts w:hint="eastAsia" w:ascii="宋体" w:hAnsi="宋体" w:cs="宋体"/>
          <w:b/>
          <w:szCs w:val="21"/>
          <w:u w:val="single"/>
        </w:rPr>
        <w:t xml:space="preserve">28 </w:t>
      </w:r>
      <w:r>
        <w:rPr>
          <w:rFonts w:hint="eastAsia" w:ascii="宋体" w:hAnsi="宋体" w:cs="宋体"/>
          <w:kern w:val="0"/>
          <w:szCs w:val="21"/>
        </w:rPr>
        <w:t>天后发包人仍不纠正其违约行为并致使合同目的不能实现的，承包人有权解除合同。</w:t>
      </w:r>
    </w:p>
    <w:p>
      <w:pPr>
        <w:ind w:firstLine="420" w:firstLineChars="200"/>
        <w:rPr>
          <w:rFonts w:ascii="宋体" w:hAnsi="宋体" w:cs="宋体"/>
          <w:szCs w:val="21"/>
        </w:rPr>
      </w:pPr>
      <w:r>
        <w:rPr>
          <w:rFonts w:hint="eastAsia" w:ascii="宋体" w:hAnsi="宋体" w:cs="宋体"/>
          <w:szCs w:val="21"/>
        </w:rPr>
        <w:t>16.2 承包人违约</w:t>
      </w:r>
    </w:p>
    <w:p>
      <w:pPr>
        <w:ind w:firstLine="420" w:firstLineChars="200"/>
        <w:jc w:val="left"/>
        <w:rPr>
          <w:rFonts w:ascii="宋体" w:hAnsi="宋体" w:cs="宋体"/>
          <w:kern w:val="0"/>
          <w:szCs w:val="21"/>
        </w:rPr>
      </w:pPr>
      <w:r>
        <w:rPr>
          <w:rFonts w:hint="eastAsia" w:ascii="宋体" w:hAnsi="宋体" w:cs="宋体"/>
          <w:kern w:val="0"/>
          <w:szCs w:val="21"/>
        </w:rPr>
        <w:t>16.2.1 承包人违约的情形</w:t>
      </w:r>
    </w:p>
    <w:p>
      <w:pPr>
        <w:ind w:firstLine="420" w:firstLineChars="200"/>
        <w:rPr>
          <w:rFonts w:ascii="宋体" w:hAnsi="宋体" w:cs="宋体"/>
          <w:b/>
          <w:szCs w:val="21"/>
          <w:u w:val="single"/>
        </w:rPr>
      </w:pPr>
      <w:r>
        <w:rPr>
          <w:rFonts w:hint="eastAsia" w:ascii="宋体" w:hAnsi="宋体" w:cs="宋体"/>
          <w:kern w:val="0"/>
          <w:szCs w:val="21"/>
        </w:rPr>
        <w:t>承包人违约的其他情形：</w:t>
      </w:r>
      <w:r>
        <w:rPr>
          <w:rFonts w:hint="eastAsia" w:ascii="宋体" w:hAnsi="宋体" w:cs="宋体"/>
          <w:b/>
          <w:szCs w:val="21"/>
          <w:u w:val="single"/>
        </w:rPr>
        <w:t>除按通用条款规定外，包括但不限于：①因承包人原因造成工程质量达不到合同约定质量标准的。②由于承包人原因不能按施工组织方案时间节点完成相应进度任务或实际施工工期已超过合同工期总日历天数。③承包人不能按照合同约定及时支付工人工资费用。④承包人未按投标文件派驻项目经理、项目施工技术负责人、安全负责人、质量负责人，或上述人员无正当理由长期离岗。⑤发包人根据附表</w:t>
      </w:r>
      <w:r>
        <w:rPr>
          <w:rFonts w:hint="eastAsia" w:ascii="宋体" w:hAnsi="宋体" w:cs="宋体"/>
          <w:b/>
          <w:kern w:val="0"/>
          <w:szCs w:val="21"/>
          <w:u w:val="single"/>
        </w:rPr>
        <w:t>《承包人履约评价标准与违约金处罚一览表》进行不定期动态考核，考核核减总分数多于或等于10分，发包人对承包人作出口头警告，核减总分数多于或等于20分，发包人对承包人（项目经理）进行约谈，核减总分数多于或等于30分，发包人对承包人发出书面警告，并报相关部门进行备案，核减总分数多于或等于40分，发包人将判定承包人履约不及格，属承包人违约，发包人有权终止合同。⑥</w:t>
      </w:r>
      <w:r>
        <w:rPr>
          <w:rFonts w:hint="eastAsia" w:ascii="宋体" w:hAnsi="宋体" w:cs="宋体"/>
          <w:b/>
          <w:szCs w:val="21"/>
          <w:u w:val="single"/>
        </w:rPr>
        <w:t>其他违约行为。</w:t>
      </w:r>
    </w:p>
    <w:p>
      <w:pPr>
        <w:ind w:firstLine="420" w:firstLineChars="200"/>
        <w:jc w:val="left"/>
        <w:rPr>
          <w:rFonts w:ascii="宋体" w:hAnsi="宋体" w:cs="宋体"/>
          <w:kern w:val="0"/>
          <w:szCs w:val="21"/>
        </w:rPr>
      </w:pPr>
      <w:r>
        <w:rPr>
          <w:rFonts w:hint="eastAsia" w:ascii="宋体" w:hAnsi="宋体" w:cs="宋体"/>
          <w:kern w:val="0"/>
          <w:szCs w:val="21"/>
        </w:rPr>
        <w:t>16.2.2承包人违约的责任</w:t>
      </w:r>
    </w:p>
    <w:p>
      <w:pPr>
        <w:ind w:firstLine="420" w:firstLineChars="200"/>
        <w:rPr>
          <w:rFonts w:ascii="宋体" w:hAnsi="宋体" w:cs="宋体"/>
          <w:b/>
          <w:szCs w:val="21"/>
          <w:u w:val="single"/>
        </w:rPr>
      </w:pPr>
      <w:r>
        <w:rPr>
          <w:rFonts w:hint="eastAsia" w:ascii="宋体" w:hAnsi="宋体" w:cs="宋体"/>
          <w:kern w:val="0"/>
          <w:szCs w:val="21"/>
        </w:rPr>
        <w:t>承包人违约责任的承担方式和计算方法：</w:t>
      </w:r>
      <w:r>
        <w:rPr>
          <w:rFonts w:hint="eastAsia" w:ascii="宋体" w:hAnsi="宋体" w:cs="宋体"/>
          <w:b/>
          <w:szCs w:val="21"/>
          <w:u w:val="single"/>
        </w:rPr>
        <w:t>①因承包人原因造成工程质量达不到合同约定质量标准的，承包人承担违约责任，按合同价款的百分之五扣取违约金。并由承包人返修至协议书约定的质量标准，相关费用由承包人承担。②为确保工期安排合理，工程质量，承包人必须按施工组织方案节点完成施工任务，发包人设置30%，50%，80%，100%四个时间节点的考核承包人工程进度，若因非承包人原因导致工期延期，承包人须书面报监理审核，并报发包人同意，方可延长工期考核节点，否则工期不予以延长。承包人无正当理由无法实现考核节点的施工任务，发包人有权每次处以或暂扣合同总价的2.5%作为违约金。③承包人不能按照合同约定及时支付工人工资费用，建设工人向发包人提出索赔的，由发包人按照劳动和社会保障部门确认及书面通知。发包人扣除承包人的履约担保向受益人支付索赔款。④对于前述条款未包括的其他违约责任，发包人有权按《承包人违约金处罚一览表》和承包人递交的《关于遵守招标文件和履行施工合同的声明》对承包人违约行为给予违约处置，或参照发包人印发的相关管理规定的违约金执行。</w:t>
      </w:r>
      <w:r>
        <w:rPr>
          <w:rFonts w:hint="eastAsia" w:ascii="宋体" w:hAnsi="宋体" w:cs="宋体"/>
          <w:b/>
          <w:szCs w:val="21"/>
          <w:u w:val="single"/>
        </w:rPr>
        <w:fldChar w:fldCharType="begin"/>
      </w:r>
      <w:r>
        <w:rPr>
          <w:rFonts w:hint="eastAsia" w:ascii="宋体" w:hAnsi="宋体" w:cs="宋体"/>
          <w:b/>
          <w:szCs w:val="21"/>
          <w:u w:val="single"/>
        </w:rPr>
        <w:instrText xml:space="preserve"> = 5 \* GB3 </w:instrText>
      </w:r>
      <w:r>
        <w:rPr>
          <w:rFonts w:hint="eastAsia" w:ascii="宋体" w:hAnsi="宋体" w:cs="宋体"/>
          <w:b/>
          <w:szCs w:val="21"/>
          <w:u w:val="single"/>
        </w:rPr>
        <w:fldChar w:fldCharType="separate"/>
      </w:r>
      <w:r>
        <w:rPr>
          <w:rFonts w:hint="eastAsia" w:ascii="宋体" w:hAnsi="宋体" w:cs="宋体"/>
          <w:b/>
          <w:szCs w:val="21"/>
          <w:u w:val="single"/>
        </w:rPr>
        <w:t>⑤</w:t>
      </w:r>
      <w:r>
        <w:rPr>
          <w:rFonts w:hint="eastAsia" w:ascii="宋体" w:hAnsi="宋体" w:cs="宋体"/>
          <w:b/>
          <w:szCs w:val="21"/>
          <w:u w:val="single"/>
        </w:rPr>
        <w:fldChar w:fldCharType="end"/>
      </w:r>
      <w:r>
        <w:rPr>
          <w:rFonts w:hint="eastAsia" w:ascii="宋体" w:hAnsi="宋体" w:cs="宋体"/>
          <w:b/>
          <w:szCs w:val="21"/>
          <w:u w:val="single"/>
        </w:rPr>
        <w:t>承包人无正当理由不按投标文件承诺制订实施施工组织方案，或不足额投入人员、机械、材料，以及出现其他不兑现投标承诺行为的，视为承包人违约，发包人有权发出限期承包人整改。承包人无正当理由延误、拒绝或整改不达标的，发包人有权处以每次5万元的违约金。</w:t>
      </w:r>
    </w:p>
    <w:p>
      <w:pPr>
        <w:ind w:firstLine="420" w:firstLineChars="200"/>
        <w:jc w:val="left"/>
        <w:rPr>
          <w:rFonts w:ascii="宋体" w:hAnsi="宋体" w:cs="宋体"/>
          <w:szCs w:val="21"/>
        </w:rPr>
      </w:pPr>
      <w:r>
        <w:rPr>
          <w:rFonts w:hint="eastAsia" w:ascii="宋体" w:hAnsi="宋体" w:cs="宋体"/>
          <w:szCs w:val="21"/>
        </w:rPr>
        <w:t>16.2.3 因承包人违约解除合同</w:t>
      </w:r>
    </w:p>
    <w:p>
      <w:pPr>
        <w:ind w:firstLine="420" w:firstLineChars="200"/>
        <w:rPr>
          <w:rFonts w:ascii="宋体" w:hAnsi="宋体" w:cs="宋体"/>
          <w:kern w:val="0"/>
          <w:szCs w:val="21"/>
        </w:rPr>
      </w:pPr>
      <w:r>
        <w:rPr>
          <w:rFonts w:hint="eastAsia" w:ascii="宋体" w:hAnsi="宋体" w:cs="宋体"/>
          <w:kern w:val="0"/>
          <w:szCs w:val="21"/>
        </w:rPr>
        <w:t>关于承包人违约解除合同的特别约定：</w:t>
      </w:r>
    </w:p>
    <w:p>
      <w:pPr>
        <w:ind w:firstLine="422" w:firstLineChars="200"/>
        <w:rPr>
          <w:rFonts w:ascii="宋体" w:hAnsi="宋体" w:cs="宋体"/>
          <w:b/>
          <w:szCs w:val="21"/>
          <w:u w:val="single"/>
        </w:rPr>
      </w:pPr>
      <w:r>
        <w:rPr>
          <w:rFonts w:hint="eastAsia" w:ascii="宋体" w:hAnsi="宋体" w:cs="宋体"/>
          <w:b/>
          <w:szCs w:val="21"/>
          <w:u w:val="single"/>
        </w:rPr>
        <w:t>①出现通用条款第16.2.1项〔承包人违约的情形〕约定的违约情况时，承包人在指定的合理期限内仍不纠正违约行为并致使合同目的不能实现的，发包人有权随时约谈承包人，并要求整改。由相关政府部门累计约谈两次承包人，承包人仍不整改且情节特别严重的，发包人有权解除合同，并没收履约保证金。</w:t>
      </w:r>
    </w:p>
    <w:p>
      <w:pPr>
        <w:ind w:firstLine="422" w:firstLineChars="200"/>
        <w:rPr>
          <w:rFonts w:ascii="宋体" w:hAnsi="宋体" w:cs="宋体"/>
          <w:b/>
          <w:szCs w:val="21"/>
          <w:u w:val="single"/>
        </w:rPr>
      </w:pPr>
      <w:r>
        <w:rPr>
          <w:rFonts w:hint="eastAsia" w:ascii="宋体" w:hAnsi="宋体" w:cs="宋体"/>
          <w:b/>
          <w:szCs w:val="21"/>
          <w:u w:val="single"/>
        </w:rPr>
        <w:t>②为保证工程项目按时、按质完成，遏止承包人违法分包、转包、挂靠等行为现象，发包人将执行严格的人员管控违约条款，即经发包人考勤，承包人未按投标文件派驻项目经理、项目施工技术负责人、安全负责人、质量负责人，或上述人员无正当理由长期离岗，且未事先书面报告征得发包人同意（报备监理无效），累计缺勤记录达3人次的，给与警告并按《承包人违约金处罚一览表》和</w:t>
      </w:r>
      <w:r>
        <w:rPr>
          <w:rFonts w:hint="eastAsia" w:ascii="宋体" w:hAnsi="宋体" w:cs="宋体"/>
          <w:b/>
          <w:kern w:val="0"/>
          <w:szCs w:val="21"/>
          <w:u w:val="single"/>
        </w:rPr>
        <w:t>承包人递交的</w:t>
      </w:r>
      <w:r>
        <w:rPr>
          <w:rFonts w:hint="eastAsia" w:ascii="宋体" w:hAnsi="宋体" w:cs="宋体"/>
          <w:b/>
          <w:szCs w:val="21"/>
          <w:u w:val="single"/>
        </w:rPr>
        <w:t>《关于遵守招标文件和履行施工合同的声明》进行处置，累计缺勤5人次的，视为严重违约，发包人有权单方面解除合同，并按有关规定委托第三方继续施工。发包人在认定承包人严重违约事实之日起三年内拒绝承包人参与发包人发包工程的投标，并按规定上报主管部门对承包人的诚信评级评分进行降级扣分处理。</w:t>
      </w:r>
    </w:p>
    <w:p>
      <w:pPr>
        <w:ind w:firstLine="422" w:firstLineChars="200"/>
        <w:rPr>
          <w:rFonts w:ascii="宋体" w:hAnsi="宋体" w:cs="宋体"/>
          <w:b/>
          <w:szCs w:val="21"/>
          <w:u w:val="single"/>
        </w:rPr>
      </w:pPr>
      <w:r>
        <w:rPr>
          <w:rFonts w:hint="eastAsia" w:ascii="宋体" w:hAnsi="宋体" w:cs="宋体"/>
          <w:b/>
          <w:szCs w:val="21"/>
          <w:u w:val="single"/>
        </w:rPr>
        <w:t>③按照专用条款16.2.2约定的考核节点，承包人无正当理由导致实际已完成工程进度达不到发包人考核节点进度的50%属工期严重滞后，承包人行为视为严重违约，发包人有权终止合同，把工程按规定另行发包，由此给发包人造成的损失由承包人承担，并扣除承包人的履约担保金。</w:t>
      </w:r>
    </w:p>
    <w:p>
      <w:pPr>
        <w:ind w:firstLine="422" w:firstLineChars="200"/>
        <w:rPr>
          <w:rFonts w:ascii="宋体" w:hAnsi="宋体" w:cs="宋体"/>
          <w:b/>
          <w:szCs w:val="21"/>
          <w:u w:val="single"/>
        </w:rPr>
      </w:pPr>
      <w:r>
        <w:rPr>
          <w:rFonts w:hint="eastAsia" w:ascii="宋体" w:hAnsi="宋体" w:cs="宋体"/>
          <w:b/>
          <w:szCs w:val="21"/>
          <w:u w:val="single"/>
        </w:rPr>
        <w:t>④发包人对承包人处予违约金累计达合同价款10%，即有权认定承包人无履行合同能力，发包人有权单方面解除合同，并有权按有关规定委托第三方继续施工。发包人有权将承包人违约情况上报行政主管部门，并按规定对承包人的诚信评级评分进行降级扣分处理。</w:t>
      </w:r>
    </w:p>
    <w:p>
      <w:pPr>
        <w:ind w:firstLine="422" w:firstLineChars="200"/>
        <w:rPr>
          <w:rFonts w:ascii="宋体" w:hAnsi="宋体" w:cs="宋体"/>
          <w:b/>
          <w:szCs w:val="21"/>
          <w:u w:val="single"/>
        </w:rPr>
      </w:pPr>
      <w:r>
        <w:rPr>
          <w:rFonts w:hint="eastAsia" w:ascii="宋体" w:hAnsi="宋体" w:cs="宋体"/>
          <w:b/>
          <w:szCs w:val="21"/>
          <w:u w:val="single"/>
        </w:rPr>
        <w:t>⑤承包人违约解除合同的后续处理：因承包人违约造成合同解除后15天内，双方共同核定已完成工程量，协商不成，由双方共同委托第三方机构对于承包人已经完成工程量进行鉴定，相关费用由承包人承担，发包人按核定已完成工程量的80%支付清算款项；承包人接到解除合同通知后15日历天内不配合发包人开展清退工作的，发包人有权单方面核定已完成工程量或委托第三方机构进对已完成工程量进行鉴定，并视同承包人默认发包人确认的或发包人委托第三方机构鉴定的工程量。</w:t>
      </w:r>
    </w:p>
    <w:p>
      <w:pPr>
        <w:ind w:firstLine="422" w:firstLineChars="200"/>
        <w:rPr>
          <w:rFonts w:ascii="宋体" w:hAnsi="宋体" w:cs="宋体"/>
          <w:b/>
          <w:szCs w:val="21"/>
          <w:u w:val="single"/>
        </w:rPr>
      </w:pPr>
      <w:r>
        <w:rPr>
          <w:rFonts w:hint="eastAsia" w:ascii="宋体" w:hAnsi="宋体" w:cs="宋体"/>
          <w:b/>
          <w:szCs w:val="21"/>
          <w:u w:val="single"/>
        </w:rPr>
        <w:t>⑥承包人未在签订合同后一个月内缴纳工人工资保证金以及拒绝、拖延购买工伤保险的，视为承包人拒绝履行合同必要义务，发包人有权解除合同和没收履约保证金，并按规定另行确定施工单位进行施工。</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ascii="宋体" w:hAnsi="宋体" w:cs="宋体"/>
          <w:b/>
          <w:szCs w:val="21"/>
          <w:u w:val="single"/>
        </w:rPr>
      </w:pPr>
      <w:r>
        <w:rPr>
          <w:rFonts w:hint="eastAsia" w:ascii="宋体" w:hAnsi="宋体" w:cs="宋体"/>
          <w:b/>
          <w:szCs w:val="21"/>
          <w:u w:val="single"/>
        </w:rPr>
        <w:sym w:font="Wingdings 2" w:char="0070"/>
      </w:r>
      <w:r>
        <w:rPr>
          <w:rFonts w:hint="eastAsia" w:ascii="宋体" w:hAnsi="宋体" w:cs="宋体"/>
          <w:b/>
          <w:szCs w:val="21"/>
          <w:u w:val="single"/>
        </w:rPr>
        <w:t>开工后，在工程建设中，发现工程质量明显达不到要求的，经催告累计达到三次又不改正的，发包方有权解除合同，没收履约保证金，承包方须承担由此造成的工期延误及其他损失。</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ascii="宋体" w:hAnsi="宋体" w:cs="宋体"/>
          <w:b/>
          <w:szCs w:val="21"/>
          <w:u w:val="single"/>
        </w:rPr>
      </w:pPr>
      <w:r>
        <w:rPr>
          <w:rFonts w:hint="eastAsia" w:ascii="宋体" w:hAnsi="宋体" w:cs="宋体"/>
          <w:b/>
          <w:szCs w:val="21"/>
          <w:u w:val="single"/>
        </w:rPr>
        <w:t>⑧若因乙方违法分包、转包或出现其他重大违约行为的，应当承担相应的违约责任，并赔偿由此给甲方造成的损失，包括但不限于为实现债权而支付的律师费、保全费、诉讼收费、公证费、鉴定费等。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cs="宋体"/>
          <w:kern w:val="0"/>
          <w:szCs w:val="21"/>
        </w:rPr>
      </w:pPr>
      <w:r>
        <w:rPr>
          <w:rFonts w:hint="eastAsia" w:ascii="宋体" w:hAnsi="宋体" w:cs="宋体"/>
          <w:kern w:val="0"/>
          <w:szCs w:val="21"/>
        </w:rPr>
        <w:t>发包人继续使用承包人在施工现场的材料、设备、临时工程、承包人文件和由承包人或以其名义编制的其他文件的费用承担方式：</w:t>
      </w:r>
      <w:r>
        <w:rPr>
          <w:rFonts w:hint="eastAsia" w:ascii="宋体" w:hAnsi="宋体" w:cs="宋体"/>
          <w:b/>
          <w:szCs w:val="21"/>
          <w:u w:val="single"/>
        </w:rPr>
        <w:t>承包人承担</w:t>
      </w:r>
      <w:r>
        <w:rPr>
          <w:rFonts w:hint="eastAsia" w:ascii="宋体" w:hAnsi="宋体" w:cs="宋体"/>
          <w:kern w:val="0"/>
          <w:szCs w:val="21"/>
        </w:rPr>
        <w:t>。</w:t>
      </w:r>
    </w:p>
    <w:p>
      <w:pPr>
        <w:pStyle w:val="7"/>
        <w:tabs>
          <w:tab w:val="left" w:pos="864"/>
        </w:tabs>
        <w:ind w:hanging="862"/>
        <w:rPr>
          <w:rFonts w:ascii="宋体" w:hAnsi="宋体" w:cs="宋体"/>
          <w:bCs w:val="0"/>
          <w:sz w:val="21"/>
          <w:szCs w:val="21"/>
        </w:rPr>
      </w:pPr>
      <w:r>
        <w:rPr>
          <w:rFonts w:hint="eastAsia" w:ascii="宋体" w:hAnsi="宋体" w:cs="宋体"/>
          <w:bCs w:val="0"/>
          <w:sz w:val="21"/>
          <w:szCs w:val="21"/>
        </w:rPr>
        <w:t>17. 不可抗力</w:t>
      </w:r>
    </w:p>
    <w:p>
      <w:pPr>
        <w:ind w:firstLine="420" w:firstLineChars="200"/>
        <w:rPr>
          <w:rFonts w:ascii="宋体" w:hAnsi="宋体" w:cs="宋体"/>
          <w:szCs w:val="21"/>
        </w:rPr>
      </w:pPr>
      <w:r>
        <w:rPr>
          <w:rFonts w:hint="eastAsia" w:ascii="宋体" w:hAnsi="宋体" w:cs="宋体"/>
          <w:szCs w:val="21"/>
        </w:rPr>
        <w:t>17.1 不可抗力的确认</w:t>
      </w:r>
    </w:p>
    <w:p>
      <w:pPr>
        <w:ind w:firstLine="420" w:firstLineChars="200"/>
        <w:jc w:val="left"/>
        <w:rPr>
          <w:rFonts w:ascii="宋体" w:hAnsi="宋体" w:cs="宋体"/>
          <w:kern w:val="0"/>
          <w:szCs w:val="21"/>
          <w:u w:val="single"/>
        </w:rPr>
      </w:pPr>
      <w:r>
        <w:rPr>
          <w:rFonts w:hint="eastAsia" w:ascii="宋体" w:hAnsi="宋体" w:cs="宋体"/>
          <w:szCs w:val="21"/>
        </w:rPr>
        <w:t>除通用合同条款约定的不可抗力事件之外，视为不可抗力的其他情形：</w:t>
      </w:r>
      <w:r>
        <w:rPr>
          <w:rFonts w:hint="eastAsia" w:ascii="宋体" w:hAnsi="宋体" w:cs="宋体"/>
          <w:b/>
          <w:kern w:val="0"/>
          <w:szCs w:val="21"/>
          <w:u w:val="single"/>
        </w:rPr>
        <w:t>距震中200公里内的6级或以上地震，降雨量200毫米/小时或以上的暴雨，正面吹袭10级或以上台风，以及海啸，水灾，泥石流，龙卷风，核反应，辐射或放射性污染，瘟疫等不能克服的自然灾害</w:t>
      </w:r>
      <w:r>
        <w:rPr>
          <w:rFonts w:hint="eastAsia" w:ascii="宋体" w:hAnsi="宋体" w:cs="宋体"/>
          <w:kern w:val="0"/>
          <w:szCs w:val="21"/>
        </w:rPr>
        <w:t>。</w:t>
      </w:r>
    </w:p>
    <w:p>
      <w:pPr>
        <w:ind w:firstLine="420" w:firstLineChars="200"/>
        <w:rPr>
          <w:rFonts w:ascii="宋体" w:hAnsi="宋体" w:cs="宋体"/>
          <w:szCs w:val="21"/>
        </w:rPr>
      </w:pPr>
      <w:r>
        <w:rPr>
          <w:rFonts w:hint="eastAsia" w:ascii="宋体" w:hAnsi="宋体" w:cs="宋体"/>
          <w:szCs w:val="21"/>
        </w:rPr>
        <w:t>17.4 因不可抗力解除合同</w:t>
      </w:r>
    </w:p>
    <w:p>
      <w:pPr>
        <w:ind w:firstLine="420" w:firstLineChars="200"/>
        <w:jc w:val="left"/>
        <w:rPr>
          <w:rFonts w:ascii="宋体" w:hAnsi="宋体" w:cs="宋体"/>
          <w:szCs w:val="21"/>
        </w:rPr>
      </w:pPr>
      <w:r>
        <w:rPr>
          <w:rFonts w:hint="eastAsia" w:ascii="宋体" w:hAnsi="宋体" w:cs="宋体"/>
          <w:szCs w:val="21"/>
        </w:rPr>
        <w:t>合同解除后，发包人应在商定或确定发包人应支付款项后</w:t>
      </w:r>
      <w:r>
        <w:rPr>
          <w:rFonts w:hint="eastAsia" w:ascii="宋体" w:hAnsi="宋体" w:cs="宋体"/>
          <w:b/>
          <w:kern w:val="0"/>
          <w:szCs w:val="21"/>
          <w:u w:val="single"/>
        </w:rPr>
        <w:t>28</w:t>
      </w:r>
      <w:r>
        <w:rPr>
          <w:rFonts w:hint="eastAsia" w:ascii="宋体" w:hAnsi="宋体" w:cs="宋体"/>
          <w:szCs w:val="21"/>
        </w:rPr>
        <w:t>天内完成款项的支付。</w:t>
      </w:r>
    </w:p>
    <w:p>
      <w:pPr>
        <w:pStyle w:val="7"/>
        <w:tabs>
          <w:tab w:val="left" w:pos="864"/>
        </w:tabs>
        <w:ind w:hanging="862"/>
        <w:rPr>
          <w:rFonts w:ascii="宋体" w:hAnsi="宋体" w:cs="宋体"/>
          <w:bCs w:val="0"/>
          <w:sz w:val="21"/>
          <w:szCs w:val="21"/>
        </w:rPr>
      </w:pPr>
      <w:r>
        <w:rPr>
          <w:rFonts w:hint="eastAsia" w:ascii="宋体" w:hAnsi="宋体" w:cs="宋体"/>
          <w:bCs w:val="0"/>
          <w:sz w:val="21"/>
          <w:szCs w:val="21"/>
        </w:rPr>
        <w:t>18. 保险</w:t>
      </w:r>
    </w:p>
    <w:p>
      <w:pPr>
        <w:ind w:firstLine="420" w:firstLineChars="200"/>
        <w:rPr>
          <w:rFonts w:ascii="宋体" w:hAnsi="宋体" w:cs="宋体"/>
          <w:szCs w:val="21"/>
        </w:rPr>
      </w:pPr>
      <w:r>
        <w:rPr>
          <w:rFonts w:hint="eastAsia" w:ascii="宋体" w:hAnsi="宋体" w:cs="宋体"/>
          <w:szCs w:val="21"/>
        </w:rPr>
        <w:t>18.1 工程保险</w:t>
      </w:r>
    </w:p>
    <w:p>
      <w:pPr>
        <w:ind w:firstLine="420" w:firstLineChars="200"/>
        <w:jc w:val="left"/>
        <w:rPr>
          <w:rFonts w:ascii="宋体" w:hAnsi="宋体" w:cs="宋体"/>
          <w:szCs w:val="21"/>
        </w:rPr>
      </w:pPr>
      <w:r>
        <w:rPr>
          <w:rFonts w:hint="eastAsia" w:ascii="宋体" w:hAnsi="宋体" w:cs="宋体"/>
          <w:szCs w:val="21"/>
        </w:rPr>
        <w:t>关于工程保险的特别约定：</w:t>
      </w:r>
      <w:r>
        <w:rPr>
          <w:rFonts w:hint="eastAsia" w:ascii="宋体" w:hAnsi="宋体" w:cs="宋体"/>
          <w:b/>
          <w:kern w:val="0"/>
          <w:szCs w:val="21"/>
          <w:u w:val="single"/>
        </w:rPr>
        <w:t>承包人为保障项目顺利实施，须购买工程一切险、第三者责任险和工伤保险等，所有费用均由承包人负责，在投标报价时作综合考虑。发包人不再购买保险。因承包人购买保险不及时或承保额度不足，产生的责任及费用均由承包人承担。</w:t>
      </w:r>
    </w:p>
    <w:p>
      <w:pPr>
        <w:ind w:firstLine="420" w:firstLineChars="200"/>
        <w:rPr>
          <w:rFonts w:ascii="宋体" w:hAnsi="宋体" w:cs="宋体"/>
          <w:szCs w:val="21"/>
        </w:rPr>
      </w:pPr>
      <w:r>
        <w:rPr>
          <w:rFonts w:hint="eastAsia" w:ascii="宋体" w:hAnsi="宋体" w:cs="宋体"/>
          <w:szCs w:val="21"/>
        </w:rPr>
        <w:t>18.3 其他保险</w:t>
      </w:r>
    </w:p>
    <w:p>
      <w:pPr>
        <w:ind w:firstLine="420" w:firstLineChars="200"/>
        <w:jc w:val="left"/>
        <w:rPr>
          <w:rFonts w:ascii="宋体" w:hAnsi="宋体" w:cs="宋体"/>
          <w:kern w:val="0"/>
          <w:szCs w:val="21"/>
        </w:rPr>
      </w:pPr>
      <w:r>
        <w:rPr>
          <w:rFonts w:hint="eastAsia" w:ascii="宋体" w:hAnsi="宋体" w:cs="宋体"/>
          <w:szCs w:val="21"/>
        </w:rPr>
        <w:t>关于其他保险的约定：</w:t>
      </w:r>
      <w:r>
        <w:rPr>
          <w:rFonts w:hint="eastAsia" w:ascii="宋体" w:hAnsi="宋体" w:cs="宋体"/>
          <w:b/>
          <w:kern w:val="0"/>
          <w:szCs w:val="21"/>
          <w:u w:val="single"/>
        </w:rPr>
        <w:t>无</w:t>
      </w:r>
      <w:r>
        <w:rPr>
          <w:rFonts w:hint="eastAsia" w:ascii="宋体" w:hAnsi="宋体" w:cs="宋体"/>
          <w:kern w:val="0"/>
          <w:szCs w:val="21"/>
        </w:rPr>
        <w:t>。</w:t>
      </w:r>
    </w:p>
    <w:p>
      <w:pPr>
        <w:ind w:firstLine="420" w:firstLineChars="200"/>
        <w:jc w:val="left"/>
        <w:rPr>
          <w:rFonts w:ascii="宋体" w:hAnsi="宋体" w:cs="宋体"/>
          <w:kern w:val="0"/>
          <w:szCs w:val="21"/>
        </w:rPr>
      </w:pPr>
      <w:r>
        <w:rPr>
          <w:rFonts w:hint="eastAsia" w:ascii="宋体" w:hAnsi="宋体" w:cs="宋体"/>
          <w:szCs w:val="21"/>
        </w:rPr>
        <w:t>承包人是否应为其施工设备等办理财产保险：</w:t>
      </w:r>
      <w:r>
        <w:rPr>
          <w:rFonts w:hint="eastAsia" w:ascii="宋体" w:hAnsi="宋体" w:cs="宋体"/>
          <w:b/>
          <w:kern w:val="0"/>
          <w:szCs w:val="21"/>
          <w:u w:val="single"/>
        </w:rPr>
        <w:t>承包人应为其施工设备等办理财产保险</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18.7 通知义务</w:t>
      </w:r>
    </w:p>
    <w:p>
      <w:pPr>
        <w:ind w:firstLine="420" w:firstLineChars="200"/>
        <w:jc w:val="left"/>
        <w:rPr>
          <w:rFonts w:ascii="宋体" w:hAnsi="宋体" w:cs="宋体"/>
          <w:szCs w:val="21"/>
        </w:rPr>
      </w:pPr>
      <w:r>
        <w:rPr>
          <w:rFonts w:hint="eastAsia" w:ascii="宋体" w:hAnsi="宋体" w:cs="宋体"/>
          <w:kern w:val="0"/>
          <w:szCs w:val="21"/>
        </w:rPr>
        <w:t>关于变更保险合同时的通知义务的约定：</w:t>
      </w:r>
      <w:r>
        <w:rPr>
          <w:rFonts w:hint="eastAsia" w:ascii="宋体" w:hAnsi="宋体" w:cs="宋体"/>
          <w:b/>
          <w:kern w:val="0"/>
          <w:szCs w:val="21"/>
          <w:u w:val="single"/>
        </w:rPr>
        <w:t>承包人变更除工伤保险之外的保险合同时，应事先征得发包人同意，并通知监理人</w:t>
      </w:r>
      <w:r>
        <w:rPr>
          <w:rFonts w:hint="eastAsia" w:ascii="宋体" w:hAnsi="宋体" w:cs="宋体"/>
          <w:szCs w:val="21"/>
        </w:rPr>
        <w:t>。</w:t>
      </w:r>
    </w:p>
    <w:p>
      <w:pPr>
        <w:pStyle w:val="7"/>
        <w:tabs>
          <w:tab w:val="left" w:pos="864"/>
        </w:tabs>
        <w:ind w:hanging="862"/>
        <w:rPr>
          <w:rFonts w:ascii="宋体" w:hAnsi="宋体" w:cs="宋体"/>
          <w:bCs w:val="0"/>
          <w:sz w:val="21"/>
          <w:szCs w:val="21"/>
        </w:rPr>
      </w:pPr>
      <w:r>
        <w:rPr>
          <w:rFonts w:hint="eastAsia" w:ascii="宋体" w:hAnsi="宋体" w:cs="宋体"/>
          <w:bCs w:val="0"/>
          <w:sz w:val="21"/>
          <w:szCs w:val="21"/>
        </w:rPr>
        <w:t>20. 争议解决</w:t>
      </w:r>
    </w:p>
    <w:p>
      <w:pPr>
        <w:ind w:firstLine="420" w:firstLineChars="200"/>
        <w:rPr>
          <w:rFonts w:ascii="宋体" w:hAnsi="宋体" w:cs="宋体"/>
          <w:szCs w:val="21"/>
        </w:rPr>
      </w:pPr>
      <w:r>
        <w:rPr>
          <w:rFonts w:hint="eastAsia" w:ascii="宋体" w:hAnsi="宋体" w:cs="宋体"/>
          <w:szCs w:val="21"/>
        </w:rPr>
        <w:t>20.3 争议评审</w:t>
      </w:r>
    </w:p>
    <w:p>
      <w:pPr>
        <w:ind w:firstLine="420" w:firstLineChars="200"/>
        <w:jc w:val="left"/>
        <w:rPr>
          <w:rFonts w:ascii="宋体" w:hAnsi="宋体" w:cs="宋体"/>
          <w:szCs w:val="21"/>
        </w:rPr>
      </w:pPr>
      <w:r>
        <w:rPr>
          <w:rFonts w:hint="eastAsia" w:ascii="宋体" w:hAnsi="宋体" w:cs="宋体"/>
          <w:kern w:val="0"/>
          <w:szCs w:val="21"/>
        </w:rPr>
        <w:t>合同当事人是否同意将工程争议提交争议评审小组决定：</w:t>
      </w:r>
      <w:r>
        <w:rPr>
          <w:rFonts w:hint="eastAsia" w:ascii="宋体" w:hAnsi="宋体" w:cs="宋体"/>
          <w:kern w:val="0"/>
          <w:szCs w:val="21"/>
          <w:u w:val="single"/>
        </w:rPr>
        <w:t>/</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20.3.1 争议评审小组的确定</w:t>
      </w:r>
    </w:p>
    <w:p>
      <w:pPr>
        <w:ind w:firstLine="420" w:firstLineChars="200"/>
        <w:jc w:val="left"/>
        <w:rPr>
          <w:rFonts w:ascii="宋体" w:hAnsi="宋体" w:cs="宋体"/>
          <w:szCs w:val="21"/>
          <w:u w:val="single"/>
        </w:rPr>
      </w:pPr>
      <w:r>
        <w:rPr>
          <w:rFonts w:hint="eastAsia" w:ascii="宋体" w:hAnsi="宋体" w:cs="宋体"/>
          <w:szCs w:val="21"/>
        </w:rPr>
        <w:t>争议评审小组成员的确定：</w:t>
      </w:r>
      <w:r>
        <w:rPr>
          <w:rFonts w:hint="eastAsia" w:ascii="宋体" w:hAnsi="宋体" w:cs="宋体"/>
          <w:kern w:val="0"/>
          <w:szCs w:val="21"/>
          <w:u w:val="single"/>
        </w:rPr>
        <w:t>/</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选定争议评审员的期限：</w:t>
      </w:r>
      <w:r>
        <w:rPr>
          <w:rFonts w:hint="eastAsia" w:ascii="宋体" w:hAnsi="宋体" w:cs="宋体"/>
          <w:kern w:val="0"/>
          <w:szCs w:val="21"/>
          <w:u w:val="single"/>
        </w:rPr>
        <w:t>/</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争议评审小组成员的报酬承担方式：</w:t>
      </w:r>
      <w:r>
        <w:rPr>
          <w:rFonts w:hint="eastAsia" w:ascii="宋体" w:hAnsi="宋体" w:cs="宋体"/>
          <w:kern w:val="0"/>
          <w:szCs w:val="21"/>
          <w:u w:val="single"/>
        </w:rPr>
        <w:t>/</w:t>
      </w:r>
      <w:r>
        <w:rPr>
          <w:rFonts w:hint="eastAsia" w:ascii="宋体" w:hAnsi="宋体" w:cs="宋体"/>
          <w:szCs w:val="21"/>
        </w:rPr>
        <w:t>。</w:t>
      </w:r>
    </w:p>
    <w:p>
      <w:pPr>
        <w:ind w:firstLine="420" w:firstLineChars="200"/>
        <w:jc w:val="left"/>
        <w:rPr>
          <w:rFonts w:ascii="宋体" w:hAnsi="宋体" w:cs="宋体"/>
          <w:szCs w:val="21"/>
        </w:rPr>
      </w:pPr>
      <w:r>
        <w:rPr>
          <w:rFonts w:hint="eastAsia" w:ascii="宋体" w:hAnsi="宋体" w:cs="宋体"/>
          <w:szCs w:val="21"/>
        </w:rPr>
        <w:t>其他事项的约定：</w:t>
      </w:r>
      <w:r>
        <w:rPr>
          <w:rFonts w:hint="eastAsia" w:ascii="宋体" w:hAnsi="宋体" w:cs="宋体"/>
          <w:kern w:val="0"/>
          <w:szCs w:val="21"/>
          <w:u w:val="single"/>
        </w:rPr>
        <w:t>/</w:t>
      </w:r>
      <w:r>
        <w:rPr>
          <w:rFonts w:hint="eastAsia" w:ascii="宋体" w:hAnsi="宋体" w:cs="宋体"/>
          <w:szCs w:val="21"/>
        </w:rPr>
        <w:t>。</w:t>
      </w:r>
    </w:p>
    <w:p>
      <w:pPr>
        <w:ind w:firstLine="420" w:firstLineChars="200"/>
        <w:rPr>
          <w:rFonts w:ascii="宋体" w:hAnsi="宋体" w:cs="宋体"/>
          <w:kern w:val="0"/>
          <w:szCs w:val="21"/>
        </w:rPr>
      </w:pPr>
      <w:r>
        <w:rPr>
          <w:rFonts w:hint="eastAsia" w:ascii="宋体" w:hAnsi="宋体" w:cs="宋体"/>
          <w:kern w:val="0"/>
          <w:szCs w:val="21"/>
        </w:rPr>
        <w:t>20.3.2 争议评审小组的决定</w:t>
      </w:r>
    </w:p>
    <w:p>
      <w:pPr>
        <w:ind w:firstLine="420" w:firstLineChars="200"/>
        <w:jc w:val="left"/>
        <w:rPr>
          <w:rFonts w:ascii="宋体" w:hAnsi="宋体" w:cs="宋体"/>
          <w:szCs w:val="21"/>
        </w:rPr>
      </w:pPr>
      <w:r>
        <w:rPr>
          <w:rFonts w:hint="eastAsia" w:ascii="宋体" w:hAnsi="宋体" w:cs="宋体"/>
          <w:szCs w:val="21"/>
        </w:rPr>
        <w:t>合同当事人关于本项的约定：</w:t>
      </w:r>
      <w:r>
        <w:rPr>
          <w:rFonts w:hint="eastAsia" w:ascii="宋体" w:hAnsi="宋体" w:cs="宋体"/>
          <w:kern w:val="0"/>
          <w:szCs w:val="21"/>
          <w:u w:val="single"/>
        </w:rPr>
        <w:t>/</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20.4仲裁或诉讼</w:t>
      </w:r>
    </w:p>
    <w:p>
      <w:pPr>
        <w:ind w:firstLine="420" w:firstLineChars="200"/>
        <w:rPr>
          <w:rFonts w:ascii="宋体" w:hAnsi="宋体" w:cs="宋体"/>
          <w:szCs w:val="21"/>
        </w:rPr>
      </w:pPr>
      <w:r>
        <w:rPr>
          <w:rFonts w:hint="eastAsia" w:ascii="宋体" w:hAnsi="宋体" w:cs="宋体"/>
          <w:szCs w:val="21"/>
        </w:rPr>
        <w:t>因合同及合同有关事项发生的争议，按下列第</w:t>
      </w:r>
      <w:r>
        <w:rPr>
          <w:rFonts w:hint="eastAsia" w:ascii="宋体" w:hAnsi="宋体" w:cs="宋体"/>
          <w:szCs w:val="21"/>
          <w:u w:val="single"/>
        </w:rPr>
        <w:t>（1）或第（2）</w:t>
      </w:r>
      <w:r>
        <w:rPr>
          <w:rFonts w:hint="eastAsia" w:ascii="宋体" w:hAnsi="宋体" w:cs="宋体"/>
          <w:szCs w:val="21"/>
        </w:rPr>
        <w:t>种方式解决：</w:t>
      </w:r>
    </w:p>
    <w:p>
      <w:pPr>
        <w:ind w:firstLine="420" w:firstLineChars="200"/>
        <w:jc w:val="left"/>
        <w:rPr>
          <w:rFonts w:ascii="宋体" w:hAnsi="宋体" w:cs="宋体"/>
          <w:szCs w:val="21"/>
        </w:rPr>
      </w:pPr>
      <w:r>
        <w:rPr>
          <w:rFonts w:hint="eastAsia" w:ascii="宋体" w:hAnsi="宋体" w:cs="宋体"/>
          <w:szCs w:val="21"/>
        </w:rPr>
        <w:t>（1）向</w:t>
      </w:r>
      <w:r>
        <w:rPr>
          <w:rFonts w:hint="eastAsia" w:ascii="宋体" w:hAnsi="宋体" w:cs="宋体"/>
          <w:szCs w:val="21"/>
          <w:u w:val="single"/>
        </w:rPr>
        <w:t xml:space="preserve">        茂名         </w:t>
      </w:r>
      <w:r>
        <w:rPr>
          <w:rFonts w:hint="eastAsia" w:ascii="宋体" w:hAnsi="宋体" w:cs="宋体"/>
          <w:szCs w:val="21"/>
        </w:rPr>
        <w:t>仲裁委员会申请仲裁；</w:t>
      </w:r>
    </w:p>
    <w:p>
      <w:pPr>
        <w:ind w:firstLine="420" w:firstLineChars="200"/>
        <w:jc w:val="left"/>
        <w:rPr>
          <w:rFonts w:ascii="宋体" w:hAnsi="宋体" w:cs="宋体"/>
          <w:szCs w:val="21"/>
        </w:rPr>
      </w:pPr>
      <w:r>
        <w:rPr>
          <w:rFonts w:hint="eastAsia" w:ascii="宋体" w:hAnsi="宋体" w:cs="宋体"/>
          <w:szCs w:val="21"/>
        </w:rPr>
        <w:t>（2）向</w:t>
      </w:r>
      <w:r>
        <w:rPr>
          <w:rFonts w:hint="eastAsia" w:ascii="宋体" w:hAnsi="宋体" w:cs="宋体"/>
          <w:b/>
          <w:szCs w:val="21"/>
          <w:u w:val="single"/>
        </w:rPr>
        <w:t xml:space="preserve">项目所在地 </w:t>
      </w:r>
      <w:r>
        <w:rPr>
          <w:rFonts w:hint="eastAsia" w:ascii="宋体" w:hAnsi="宋体" w:cs="宋体"/>
          <w:szCs w:val="21"/>
        </w:rPr>
        <w:t>人民法院起诉。</w:t>
      </w:r>
    </w:p>
    <w:p>
      <w:pPr>
        <w:pStyle w:val="7"/>
        <w:tabs>
          <w:tab w:val="left" w:pos="864"/>
        </w:tabs>
        <w:ind w:hanging="862"/>
        <w:rPr>
          <w:rFonts w:ascii="宋体" w:hAnsi="宋体" w:cs="宋体"/>
          <w:bCs w:val="0"/>
          <w:sz w:val="21"/>
          <w:szCs w:val="21"/>
        </w:rPr>
      </w:pPr>
      <w:r>
        <w:rPr>
          <w:rFonts w:hint="eastAsia" w:ascii="宋体" w:hAnsi="宋体" w:cs="宋体"/>
          <w:bCs w:val="0"/>
          <w:sz w:val="21"/>
          <w:szCs w:val="21"/>
        </w:rPr>
        <w:t>21.补充条款</w:t>
      </w:r>
    </w:p>
    <w:p>
      <w:pPr>
        <w:ind w:firstLine="480"/>
        <w:rPr>
          <w:rFonts w:ascii="宋体" w:hAnsi="宋体" w:cs="宋体"/>
          <w:szCs w:val="21"/>
        </w:rPr>
      </w:pPr>
      <w:r>
        <w:rPr>
          <w:rFonts w:hint="eastAsia" w:ascii="宋体" w:hAnsi="宋体" w:cs="宋体"/>
          <w:kern w:val="0"/>
          <w:szCs w:val="21"/>
        </w:rPr>
        <w:t>21.1</w:t>
      </w:r>
      <w:r>
        <w:rPr>
          <w:rFonts w:hint="eastAsia" w:ascii="宋体" w:hAnsi="宋体" w:cs="宋体"/>
          <w:b/>
          <w:kern w:val="0"/>
          <w:szCs w:val="21"/>
          <w:u w:val="single"/>
        </w:rPr>
        <w:t>该项目（政府投资项目），除按设计变更程序进行的设计变更外，实行零签证制度。按中标价限额施工。非竞争性费用按照有权审核部门最终审定费用为准。该项目没有赶工措施费，而且要严格履行《投标人声明：关于遵守招标文件和履行施工合同的声明》，承包人投标报价时应综合考虑。</w:t>
      </w:r>
    </w:p>
    <w:p>
      <w:pPr>
        <w:ind w:firstLine="480"/>
        <w:jc w:val="left"/>
        <w:rPr>
          <w:rFonts w:ascii="宋体" w:hAnsi="宋体" w:cs="宋体"/>
          <w:szCs w:val="21"/>
        </w:rPr>
      </w:pPr>
      <w:r>
        <w:rPr>
          <w:rFonts w:hint="eastAsia" w:ascii="宋体" w:hAnsi="宋体" w:cs="宋体"/>
          <w:kern w:val="0"/>
          <w:szCs w:val="21"/>
        </w:rPr>
        <w:t>21.2</w:t>
      </w:r>
      <w:r>
        <w:rPr>
          <w:rFonts w:hint="eastAsia" w:ascii="宋体" w:hAnsi="宋体" w:cs="宋体"/>
          <w:b/>
          <w:kern w:val="0"/>
          <w:szCs w:val="21"/>
          <w:u w:val="single"/>
        </w:rPr>
        <w:t>承包人委派的项目经理、项目施工技术负责人、安全负责人、质量负责人、财务负责人在签订合同和进场施工时必须到位，如在签订合同时不能到位，则视为承包人自动放弃中标资格，发包人可以按照评标委员会提出的中标候选人名单排序依次确定其他中标候选人为中标人，或者按规定重新组织招标；如在进场施工时不能到位，承包人的履约保证金不予退还，给发包人造成损失的，还应当对超过部分予以赔偿</w:t>
      </w:r>
      <w:r>
        <w:rPr>
          <w:rFonts w:hint="eastAsia" w:ascii="宋体" w:hAnsi="宋体" w:cs="宋体"/>
          <w:szCs w:val="21"/>
        </w:rPr>
        <w:t>。</w:t>
      </w:r>
      <w:r>
        <w:rPr>
          <w:rFonts w:hint="eastAsia" w:ascii="宋体" w:hAnsi="宋体" w:cs="宋体"/>
          <w:b/>
          <w:kern w:val="0"/>
          <w:szCs w:val="21"/>
          <w:u w:val="single"/>
        </w:rPr>
        <w:t>开工后，相关人员进驻施工现场时间为：项目经理  22  天/月；技术负责人 22  天/月；安全负责人  22  天/月；质量负责人  22  天/月。开工后，上述人员变更的要求为：(1)人员变更须经建设单位、监理单位同意；(2)变更的人员具有与招标文件要求、投标文件承诺的同等资格条件，且符合有关管理法规要求的资格条件；（3）变更的人员必须是施工企业自有员工（具有本企业购买前三个月的社保、劳动合同）（4）向建设行业管理部门填报《建筑工程项目管理班子变更情况报告表》并经审核通过。</w:t>
      </w:r>
    </w:p>
    <w:p>
      <w:pPr>
        <w:ind w:firstLine="600"/>
        <w:jc w:val="left"/>
        <w:rPr>
          <w:rFonts w:ascii="宋体" w:hAnsi="宋体" w:cs="宋体"/>
          <w:b/>
          <w:kern w:val="0"/>
          <w:szCs w:val="21"/>
          <w:u w:val="single"/>
        </w:rPr>
      </w:pPr>
      <w:r>
        <w:rPr>
          <w:rFonts w:hint="eastAsia" w:ascii="宋体" w:hAnsi="宋体" w:cs="宋体"/>
          <w:kern w:val="0"/>
          <w:szCs w:val="21"/>
        </w:rPr>
        <w:t>21.3</w:t>
      </w:r>
      <w:r>
        <w:rPr>
          <w:rFonts w:hint="eastAsia" w:ascii="宋体" w:hAnsi="宋体" w:cs="宋体"/>
          <w:b/>
          <w:kern w:val="0"/>
          <w:szCs w:val="21"/>
          <w:u w:val="single"/>
        </w:rPr>
        <w:t>《投标人声明：关于遵守招标文件和履行施工合同的声明》为本合同附件。</w:t>
      </w:r>
    </w:p>
    <w:bookmarkEnd w:id="522"/>
    <w:bookmarkEnd w:id="523"/>
    <w:p>
      <w:pPr>
        <w:spacing w:line="600" w:lineRule="exact"/>
        <w:jc w:val="center"/>
        <w:rPr>
          <w:rFonts w:ascii="宋体" w:hAnsi="宋体" w:cs="宋体"/>
          <w:b/>
        </w:rPr>
      </w:pPr>
      <w:r>
        <w:rPr>
          <w:rFonts w:hint="eastAsia" w:ascii="宋体" w:hAnsi="宋体" w:cs="宋体"/>
          <w:b/>
        </w:rPr>
        <w:br w:type="page"/>
      </w:r>
      <w:r>
        <w:rPr>
          <w:rFonts w:hint="eastAsia" w:ascii="宋体" w:hAnsi="宋体" w:cs="宋体"/>
          <w:b/>
        </w:rPr>
        <w:t>《承包人履约评价标准与违约金处罚一览表》</w:t>
      </w:r>
    </w:p>
    <w:tbl>
      <w:tblPr>
        <w:tblStyle w:val="49"/>
        <w:tblW w:w="9060" w:type="dxa"/>
        <w:tblInd w:w="-3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38" w:type="dxa"/>
          <w:left w:w="52" w:type="dxa"/>
          <w:bottom w:w="0" w:type="dxa"/>
          <w:right w:w="19" w:type="dxa"/>
        </w:tblCellMar>
      </w:tblPr>
      <w:tblGrid>
        <w:gridCol w:w="15"/>
        <w:gridCol w:w="15"/>
        <w:gridCol w:w="336"/>
        <w:gridCol w:w="551"/>
        <w:gridCol w:w="698"/>
        <w:gridCol w:w="3845"/>
        <w:gridCol w:w="1130"/>
        <w:gridCol w:w="10"/>
        <w:gridCol w:w="1165"/>
        <w:gridCol w:w="10"/>
        <w:gridCol w:w="20"/>
        <w:gridCol w:w="1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52" w:type="dxa"/>
            <w:bottom w:w="0" w:type="dxa"/>
            <w:right w:w="19" w:type="dxa"/>
          </w:tblCellMar>
        </w:tblPrEx>
        <w:trPr>
          <w:gridBefore w:val="2"/>
          <w:wBefore w:w="30" w:type="dxa"/>
          <w:trHeight w:val="864" w:hRule="atLeast"/>
        </w:trPr>
        <w:tc>
          <w:tcPr>
            <w:tcW w:w="336" w:type="dxa"/>
            <w:vAlign w:val="center"/>
          </w:tcPr>
          <w:p>
            <w:pPr>
              <w:spacing w:line="240" w:lineRule="auto"/>
              <w:ind w:right="8"/>
              <w:jc w:val="left"/>
              <w:rPr>
                <w:rFonts w:ascii="宋体" w:hAnsi="宋体" w:cs="宋体"/>
                <w:szCs w:val="21"/>
              </w:rPr>
            </w:pPr>
            <w:r>
              <w:rPr>
                <w:rFonts w:hint="eastAsia" w:ascii="宋体" w:hAnsi="宋体" w:cs="宋体"/>
                <w:szCs w:val="21"/>
              </w:rPr>
              <w:t>类别</w:t>
            </w:r>
          </w:p>
        </w:tc>
        <w:tc>
          <w:tcPr>
            <w:tcW w:w="551" w:type="dxa"/>
            <w:vAlign w:val="center"/>
          </w:tcPr>
          <w:p>
            <w:pPr>
              <w:spacing w:line="240" w:lineRule="auto"/>
              <w:jc w:val="left"/>
              <w:rPr>
                <w:rFonts w:ascii="宋体" w:hAnsi="宋体" w:cs="宋体"/>
                <w:szCs w:val="21"/>
              </w:rPr>
            </w:pPr>
            <w:r>
              <w:rPr>
                <w:rFonts w:hint="eastAsia" w:ascii="宋体" w:hAnsi="宋体" w:cs="宋体"/>
                <w:szCs w:val="21"/>
              </w:rPr>
              <w:t>评价分项</w:t>
            </w:r>
          </w:p>
        </w:tc>
        <w:tc>
          <w:tcPr>
            <w:tcW w:w="698" w:type="dxa"/>
            <w:vAlign w:val="center"/>
          </w:tcPr>
          <w:p>
            <w:pPr>
              <w:spacing w:line="240" w:lineRule="auto"/>
              <w:jc w:val="center"/>
              <w:rPr>
                <w:rFonts w:ascii="宋体" w:hAnsi="宋体" w:cs="宋体"/>
                <w:szCs w:val="21"/>
              </w:rPr>
            </w:pPr>
            <w:r>
              <w:rPr>
                <w:rFonts w:hint="eastAsia" w:ascii="宋体" w:hAnsi="宋体" w:cs="宋体"/>
                <w:szCs w:val="21"/>
              </w:rPr>
              <w:t>履约行为编码</w:t>
            </w:r>
          </w:p>
        </w:tc>
        <w:tc>
          <w:tcPr>
            <w:tcW w:w="3845" w:type="dxa"/>
            <w:vAlign w:val="center"/>
          </w:tcPr>
          <w:p>
            <w:pPr>
              <w:tabs>
                <w:tab w:val="center" w:pos="1373"/>
                <w:tab w:val="center" w:pos="2049"/>
                <w:tab w:val="center" w:pos="2949"/>
                <w:tab w:val="center" w:pos="3625"/>
              </w:tabs>
              <w:spacing w:line="240" w:lineRule="auto"/>
              <w:ind w:firstLine="630" w:firstLineChars="300"/>
              <w:jc w:val="left"/>
              <w:rPr>
                <w:rFonts w:ascii="宋体" w:hAnsi="宋体" w:cs="宋体"/>
                <w:szCs w:val="21"/>
              </w:rPr>
            </w:pPr>
            <w:r>
              <w:rPr>
                <w:rFonts w:hint="eastAsia" w:ascii="宋体" w:hAnsi="宋体" w:cs="宋体"/>
                <w:szCs w:val="21"/>
              </w:rPr>
              <w:t>履约行</w:t>
            </w:r>
            <w:r>
              <w:rPr>
                <w:rFonts w:hint="eastAsia" w:ascii="宋体" w:hAnsi="宋体" w:cs="宋体"/>
                <w:szCs w:val="21"/>
              </w:rPr>
              <w:tab/>
            </w:r>
            <w:r>
              <w:rPr>
                <w:rFonts w:hint="eastAsia" w:ascii="宋体" w:hAnsi="宋体" w:cs="宋体"/>
                <w:szCs w:val="21"/>
              </w:rPr>
              <w:t>为表现</w:t>
            </w:r>
          </w:p>
        </w:tc>
        <w:tc>
          <w:tcPr>
            <w:tcW w:w="1140" w:type="dxa"/>
            <w:gridSpan w:val="2"/>
            <w:vAlign w:val="center"/>
          </w:tcPr>
          <w:p>
            <w:pPr>
              <w:spacing w:line="240" w:lineRule="auto"/>
              <w:jc w:val="left"/>
              <w:rPr>
                <w:rFonts w:ascii="宋体" w:hAnsi="宋体" w:cs="宋体"/>
                <w:szCs w:val="21"/>
              </w:rPr>
            </w:pPr>
            <w:r>
              <w:rPr>
                <w:rFonts w:hint="eastAsia" w:ascii="宋体" w:hAnsi="宋体" w:cs="宋体"/>
                <w:szCs w:val="21"/>
              </w:rPr>
              <w:t>扣分标准</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违约金标准</w:t>
            </w:r>
          </w:p>
        </w:tc>
        <w:tc>
          <w:tcPr>
            <w:tcW w:w="1285" w:type="dxa"/>
            <w:gridSpan w:val="2"/>
            <w:vAlign w:val="center"/>
          </w:tcPr>
          <w:p>
            <w:pPr>
              <w:spacing w:line="240" w:lineRule="auto"/>
              <w:ind w:left="224"/>
              <w:jc w:val="left"/>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52" w:type="dxa"/>
            <w:bottom w:w="0" w:type="dxa"/>
            <w:right w:w="19" w:type="dxa"/>
          </w:tblCellMar>
        </w:tblPrEx>
        <w:trPr>
          <w:gridBefore w:val="2"/>
          <w:wBefore w:w="30" w:type="dxa"/>
          <w:trHeight w:val="331" w:hRule="atLeast"/>
        </w:trPr>
        <w:tc>
          <w:tcPr>
            <w:tcW w:w="336" w:type="dxa"/>
            <w:vMerge w:val="restart"/>
            <w:vAlign w:val="center"/>
          </w:tcPr>
          <w:p>
            <w:pPr>
              <w:spacing w:line="240" w:lineRule="auto"/>
              <w:jc w:val="left"/>
              <w:rPr>
                <w:rFonts w:ascii="宋体" w:hAnsi="宋体" w:cs="宋体"/>
                <w:szCs w:val="21"/>
              </w:rPr>
            </w:pPr>
            <w:r>
              <w:rPr>
                <w:rFonts w:hint="eastAsia" w:ascii="宋体" w:hAnsi="宋体" w:cs="宋体"/>
                <w:szCs w:val="21"/>
              </w:rPr>
              <w:t>一人员配备</w:t>
            </w:r>
          </w:p>
        </w:tc>
        <w:tc>
          <w:tcPr>
            <w:tcW w:w="551" w:type="dxa"/>
            <w:vMerge w:val="restart"/>
            <w:vAlign w:val="center"/>
          </w:tcPr>
          <w:p>
            <w:pPr>
              <w:spacing w:line="240" w:lineRule="auto"/>
              <w:jc w:val="left"/>
              <w:rPr>
                <w:rFonts w:ascii="宋体" w:hAnsi="宋体" w:cs="宋体"/>
                <w:szCs w:val="21"/>
              </w:rPr>
            </w:pPr>
            <w:r>
              <w:rPr>
                <w:rFonts w:hint="eastAsia" w:ascii="宋体" w:hAnsi="宋体" w:cs="宋体"/>
                <w:szCs w:val="21"/>
              </w:rPr>
              <w:t>项</w:t>
            </w:r>
          </w:p>
          <w:p>
            <w:pPr>
              <w:spacing w:line="240" w:lineRule="auto"/>
              <w:jc w:val="left"/>
              <w:rPr>
                <w:rFonts w:ascii="宋体" w:hAnsi="宋体" w:cs="宋体"/>
                <w:szCs w:val="21"/>
              </w:rPr>
            </w:pPr>
            <w:r>
              <w:rPr>
                <w:rFonts w:hint="eastAsia" w:ascii="宋体" w:hAnsi="宋体" w:cs="宋体"/>
                <w:szCs w:val="21"/>
              </w:rPr>
              <w:t>目</w:t>
            </w:r>
          </w:p>
          <w:p>
            <w:pPr>
              <w:spacing w:line="240" w:lineRule="auto"/>
              <w:jc w:val="left"/>
              <w:rPr>
                <w:rFonts w:ascii="宋体" w:hAnsi="宋体" w:cs="宋体"/>
                <w:szCs w:val="21"/>
              </w:rPr>
            </w:pPr>
            <w:r>
              <w:rPr>
                <w:rFonts w:hint="eastAsia" w:ascii="宋体" w:hAnsi="宋体" w:cs="宋体"/>
                <w:szCs w:val="21"/>
              </w:rPr>
              <w:t>经</w:t>
            </w:r>
          </w:p>
          <w:p>
            <w:pPr>
              <w:spacing w:line="240" w:lineRule="auto"/>
              <w:jc w:val="left"/>
              <w:rPr>
                <w:rFonts w:ascii="宋体" w:hAnsi="宋体" w:cs="宋体"/>
                <w:szCs w:val="21"/>
              </w:rPr>
            </w:pPr>
            <w:r>
              <w:rPr>
                <w:rFonts w:hint="eastAsia" w:ascii="宋体" w:hAnsi="宋体" w:cs="宋体"/>
                <w:szCs w:val="21"/>
              </w:rPr>
              <w:t>理</w:t>
            </w:r>
          </w:p>
        </w:tc>
        <w:tc>
          <w:tcPr>
            <w:tcW w:w="698" w:type="dxa"/>
          </w:tcPr>
          <w:p>
            <w:pPr>
              <w:spacing w:line="240" w:lineRule="auto"/>
              <w:ind w:right="33"/>
              <w:jc w:val="left"/>
              <w:rPr>
                <w:rFonts w:ascii="宋体" w:hAnsi="宋体" w:cs="宋体"/>
                <w:szCs w:val="21"/>
              </w:rPr>
            </w:pPr>
            <w:r>
              <w:rPr>
                <w:rFonts w:hint="eastAsia" w:ascii="宋体" w:hAnsi="宋体" w:cs="宋体"/>
                <w:szCs w:val="21"/>
              </w:rPr>
              <w:t>1.1.1</w:t>
            </w:r>
          </w:p>
        </w:tc>
        <w:tc>
          <w:tcPr>
            <w:tcW w:w="3845" w:type="dxa"/>
          </w:tcPr>
          <w:p>
            <w:pPr>
              <w:spacing w:line="240" w:lineRule="auto"/>
              <w:ind w:left="55"/>
              <w:jc w:val="left"/>
              <w:rPr>
                <w:rFonts w:ascii="宋体" w:hAnsi="宋体" w:cs="宋体"/>
                <w:szCs w:val="21"/>
              </w:rPr>
            </w:pPr>
            <w:r>
              <w:rPr>
                <w:rFonts w:hint="eastAsia" w:ascii="宋体" w:hAnsi="宋体" w:cs="宋体"/>
                <w:szCs w:val="21"/>
              </w:rPr>
              <w:t>未经发包人批准承包人擅自变更或调换项目经理</w:t>
            </w:r>
          </w:p>
        </w:tc>
        <w:tc>
          <w:tcPr>
            <w:tcW w:w="1140" w:type="dxa"/>
            <w:gridSpan w:val="2"/>
            <w:vAlign w:val="center"/>
          </w:tcPr>
          <w:p>
            <w:pPr>
              <w:spacing w:line="240" w:lineRule="auto"/>
              <w:jc w:val="center"/>
              <w:rPr>
                <w:rFonts w:ascii="宋体" w:hAnsi="宋体" w:cs="宋体"/>
                <w:szCs w:val="21"/>
              </w:rPr>
            </w:pPr>
            <w:r>
              <w:rPr>
                <w:rFonts w:hint="eastAsia" w:ascii="宋体" w:hAnsi="宋体" w:cs="宋体"/>
                <w:szCs w:val="21"/>
              </w:rPr>
              <w:t>扣5分/次</w:t>
            </w:r>
          </w:p>
        </w:tc>
        <w:tc>
          <w:tcPr>
            <w:tcW w:w="1175" w:type="dxa"/>
            <w:gridSpan w:val="2"/>
            <w:vAlign w:val="center"/>
          </w:tcPr>
          <w:p>
            <w:pPr>
              <w:spacing w:line="240" w:lineRule="auto"/>
              <w:jc w:val="center"/>
              <w:rPr>
                <w:rFonts w:ascii="宋体" w:hAnsi="宋体" w:cs="宋体"/>
                <w:szCs w:val="21"/>
              </w:rPr>
            </w:pPr>
            <w:r>
              <w:rPr>
                <w:rFonts w:hint="eastAsia" w:ascii="宋体" w:hAnsi="宋体" w:cs="宋体"/>
                <w:szCs w:val="21"/>
              </w:rPr>
              <w:t>5万/次</w:t>
            </w:r>
          </w:p>
        </w:tc>
        <w:tc>
          <w:tcPr>
            <w:tcW w:w="1285" w:type="dxa"/>
            <w:gridSpan w:val="2"/>
          </w:tcPr>
          <w:p>
            <w:pPr>
              <w:spacing w:line="240" w:lineRule="auto"/>
              <w:ind w:left="179"/>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52" w:type="dxa"/>
            <w:bottom w:w="0" w:type="dxa"/>
            <w:right w:w="19" w:type="dxa"/>
          </w:tblCellMar>
        </w:tblPrEx>
        <w:trPr>
          <w:gridBefore w:val="2"/>
          <w:wBefore w:w="30" w:type="dxa"/>
          <w:trHeight w:val="330" w:hRule="atLeast"/>
        </w:trPr>
        <w:tc>
          <w:tcPr>
            <w:tcW w:w="336" w:type="dxa"/>
            <w:vMerge w:val="continue"/>
          </w:tcPr>
          <w:p>
            <w:pPr>
              <w:spacing w:line="240" w:lineRule="auto"/>
              <w:jc w:val="left"/>
              <w:rPr>
                <w:rFonts w:ascii="宋体" w:hAnsi="宋体" w:cs="宋体"/>
                <w:szCs w:val="21"/>
              </w:rPr>
            </w:pPr>
          </w:p>
        </w:tc>
        <w:tc>
          <w:tcPr>
            <w:tcW w:w="551" w:type="dxa"/>
            <w:vMerge w:val="continue"/>
          </w:tcPr>
          <w:p>
            <w:pPr>
              <w:spacing w:line="240" w:lineRule="auto"/>
              <w:jc w:val="left"/>
              <w:rPr>
                <w:rFonts w:ascii="宋体" w:hAnsi="宋体" w:cs="宋体"/>
                <w:szCs w:val="21"/>
              </w:rPr>
            </w:pPr>
          </w:p>
        </w:tc>
        <w:tc>
          <w:tcPr>
            <w:tcW w:w="698" w:type="dxa"/>
          </w:tcPr>
          <w:p>
            <w:pPr>
              <w:spacing w:line="240" w:lineRule="auto"/>
              <w:ind w:right="33"/>
              <w:jc w:val="left"/>
              <w:rPr>
                <w:rFonts w:ascii="宋体" w:hAnsi="宋体" w:cs="宋体"/>
                <w:szCs w:val="21"/>
              </w:rPr>
            </w:pPr>
            <w:r>
              <w:rPr>
                <w:rFonts w:hint="eastAsia" w:ascii="宋体" w:hAnsi="宋体" w:cs="宋体"/>
                <w:szCs w:val="21"/>
              </w:rPr>
              <w:t>1.1.2</w:t>
            </w:r>
          </w:p>
        </w:tc>
        <w:tc>
          <w:tcPr>
            <w:tcW w:w="3845" w:type="dxa"/>
          </w:tcPr>
          <w:p>
            <w:pPr>
              <w:spacing w:line="240" w:lineRule="auto"/>
              <w:ind w:left="55"/>
              <w:jc w:val="left"/>
              <w:rPr>
                <w:rFonts w:ascii="宋体" w:hAnsi="宋体" w:cs="宋体"/>
                <w:szCs w:val="21"/>
              </w:rPr>
            </w:pPr>
            <w:r>
              <w:rPr>
                <w:rFonts w:hint="eastAsia" w:ascii="宋体" w:hAnsi="宋体" w:cs="宋体"/>
                <w:szCs w:val="21"/>
              </w:rPr>
              <w:t>承包人任命的项目经理兼职其它项目</w:t>
            </w:r>
          </w:p>
        </w:tc>
        <w:tc>
          <w:tcPr>
            <w:tcW w:w="1140" w:type="dxa"/>
            <w:gridSpan w:val="2"/>
            <w:vAlign w:val="center"/>
          </w:tcPr>
          <w:p>
            <w:pPr>
              <w:spacing w:line="240" w:lineRule="auto"/>
              <w:ind w:right="33"/>
              <w:jc w:val="center"/>
              <w:rPr>
                <w:rFonts w:ascii="宋体" w:hAnsi="宋体" w:cs="宋体"/>
                <w:szCs w:val="21"/>
              </w:rPr>
            </w:pPr>
            <w:r>
              <w:rPr>
                <w:rFonts w:hint="eastAsia" w:ascii="宋体" w:hAnsi="宋体" w:cs="宋体"/>
                <w:szCs w:val="21"/>
              </w:rPr>
              <w:t>扣3分</w:t>
            </w:r>
          </w:p>
        </w:tc>
        <w:tc>
          <w:tcPr>
            <w:tcW w:w="1175" w:type="dxa"/>
            <w:gridSpan w:val="2"/>
            <w:vAlign w:val="center"/>
          </w:tcPr>
          <w:p>
            <w:pPr>
              <w:spacing w:line="240" w:lineRule="auto"/>
              <w:ind w:right="33"/>
              <w:jc w:val="center"/>
              <w:rPr>
                <w:rFonts w:ascii="宋体" w:hAnsi="宋体" w:cs="宋体"/>
                <w:szCs w:val="21"/>
              </w:rPr>
            </w:pPr>
            <w:r>
              <w:rPr>
                <w:rFonts w:hint="eastAsia" w:ascii="宋体" w:hAnsi="宋体" w:cs="宋体"/>
                <w:szCs w:val="21"/>
              </w:rPr>
              <w:t>3万/次</w:t>
            </w:r>
          </w:p>
        </w:tc>
        <w:tc>
          <w:tcPr>
            <w:tcW w:w="1285" w:type="dxa"/>
            <w:gridSpan w:val="2"/>
          </w:tcPr>
          <w:p>
            <w:pPr>
              <w:spacing w:line="240" w:lineRule="auto"/>
              <w:ind w:right="33"/>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52" w:type="dxa"/>
            <w:bottom w:w="0" w:type="dxa"/>
            <w:right w:w="19" w:type="dxa"/>
          </w:tblCellMar>
        </w:tblPrEx>
        <w:trPr>
          <w:gridBefore w:val="2"/>
          <w:wBefore w:w="30" w:type="dxa"/>
          <w:trHeight w:val="831" w:hRule="atLeast"/>
        </w:trPr>
        <w:tc>
          <w:tcPr>
            <w:tcW w:w="336" w:type="dxa"/>
            <w:vMerge w:val="continue"/>
          </w:tcPr>
          <w:p>
            <w:pPr>
              <w:spacing w:line="240" w:lineRule="auto"/>
              <w:jc w:val="left"/>
              <w:rPr>
                <w:rFonts w:ascii="宋体" w:hAnsi="宋体" w:cs="宋体"/>
                <w:szCs w:val="21"/>
              </w:rPr>
            </w:pPr>
          </w:p>
        </w:tc>
        <w:tc>
          <w:tcPr>
            <w:tcW w:w="551" w:type="dxa"/>
            <w:vMerge w:val="continue"/>
          </w:tcPr>
          <w:p>
            <w:pPr>
              <w:spacing w:line="240" w:lineRule="auto"/>
              <w:jc w:val="left"/>
              <w:rPr>
                <w:rFonts w:ascii="宋体" w:hAnsi="宋体" w:cs="宋体"/>
                <w:szCs w:val="21"/>
              </w:rPr>
            </w:pPr>
          </w:p>
        </w:tc>
        <w:tc>
          <w:tcPr>
            <w:tcW w:w="698" w:type="dxa"/>
            <w:vAlign w:val="center"/>
          </w:tcPr>
          <w:p>
            <w:pPr>
              <w:spacing w:line="240" w:lineRule="auto"/>
              <w:ind w:right="33"/>
              <w:jc w:val="left"/>
              <w:rPr>
                <w:rFonts w:ascii="宋体" w:hAnsi="宋体" w:cs="宋体"/>
                <w:szCs w:val="21"/>
              </w:rPr>
            </w:pPr>
            <w:r>
              <w:rPr>
                <w:rFonts w:hint="eastAsia" w:ascii="宋体" w:hAnsi="宋体" w:cs="宋体"/>
                <w:szCs w:val="21"/>
              </w:rPr>
              <w:t>1.1.3</w:t>
            </w:r>
          </w:p>
        </w:tc>
        <w:tc>
          <w:tcPr>
            <w:tcW w:w="3845" w:type="dxa"/>
            <w:vAlign w:val="center"/>
          </w:tcPr>
          <w:p>
            <w:pPr>
              <w:spacing w:line="240" w:lineRule="auto"/>
              <w:ind w:left="55"/>
              <w:jc w:val="left"/>
              <w:rPr>
                <w:rFonts w:ascii="宋体" w:hAnsi="宋体" w:cs="宋体"/>
                <w:szCs w:val="21"/>
              </w:rPr>
            </w:pPr>
            <w:r>
              <w:rPr>
                <w:rFonts w:hint="eastAsia" w:ascii="宋体" w:hAnsi="宋体" w:cs="宋体"/>
                <w:szCs w:val="21"/>
              </w:rPr>
              <w:t>承包人任命的项目经理严重不称职（专业、职称、态度、经验、能力等），发包人书面要求承包人更换的</w:t>
            </w:r>
          </w:p>
        </w:tc>
        <w:tc>
          <w:tcPr>
            <w:tcW w:w="1140" w:type="dxa"/>
            <w:gridSpan w:val="2"/>
            <w:vAlign w:val="center"/>
          </w:tcPr>
          <w:p>
            <w:pPr>
              <w:spacing w:line="240" w:lineRule="auto"/>
              <w:jc w:val="center"/>
              <w:rPr>
                <w:rFonts w:ascii="宋体" w:hAnsi="宋体" w:cs="宋体"/>
                <w:szCs w:val="21"/>
              </w:rPr>
            </w:pPr>
            <w:r>
              <w:rPr>
                <w:rFonts w:hint="eastAsia" w:ascii="宋体" w:hAnsi="宋体" w:cs="宋体"/>
                <w:szCs w:val="21"/>
              </w:rPr>
              <w:t>扣1分/次</w:t>
            </w:r>
          </w:p>
        </w:tc>
        <w:tc>
          <w:tcPr>
            <w:tcW w:w="1175" w:type="dxa"/>
            <w:gridSpan w:val="2"/>
            <w:vAlign w:val="center"/>
          </w:tcPr>
          <w:p>
            <w:pPr>
              <w:spacing w:line="240" w:lineRule="auto"/>
              <w:jc w:val="center"/>
              <w:rPr>
                <w:rFonts w:ascii="宋体" w:hAnsi="宋体" w:cs="宋体"/>
                <w:szCs w:val="21"/>
              </w:rPr>
            </w:pPr>
            <w:r>
              <w:rPr>
                <w:rFonts w:hint="eastAsia" w:ascii="宋体" w:hAnsi="宋体" w:cs="宋体"/>
                <w:szCs w:val="21"/>
              </w:rPr>
              <w:t>1万/次</w:t>
            </w:r>
          </w:p>
        </w:tc>
        <w:tc>
          <w:tcPr>
            <w:tcW w:w="1285" w:type="dxa"/>
            <w:gridSpan w:val="2"/>
            <w:vAlign w:val="center"/>
          </w:tcPr>
          <w:p>
            <w:pPr>
              <w:spacing w:line="240" w:lineRule="auto"/>
              <w:ind w:left="179"/>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52" w:type="dxa"/>
            <w:bottom w:w="0" w:type="dxa"/>
            <w:right w:w="19" w:type="dxa"/>
          </w:tblCellMar>
        </w:tblPrEx>
        <w:trPr>
          <w:gridBefore w:val="2"/>
          <w:wBefore w:w="30" w:type="dxa"/>
          <w:trHeight w:val="842" w:hRule="atLeast"/>
        </w:trPr>
        <w:tc>
          <w:tcPr>
            <w:tcW w:w="336" w:type="dxa"/>
            <w:vMerge w:val="continue"/>
          </w:tcPr>
          <w:p>
            <w:pPr>
              <w:spacing w:line="240" w:lineRule="auto"/>
              <w:jc w:val="left"/>
              <w:rPr>
                <w:rFonts w:ascii="宋体" w:hAnsi="宋体" w:cs="宋体"/>
                <w:szCs w:val="21"/>
              </w:rPr>
            </w:pPr>
          </w:p>
        </w:tc>
        <w:tc>
          <w:tcPr>
            <w:tcW w:w="551" w:type="dxa"/>
            <w:vMerge w:val="continue"/>
          </w:tcPr>
          <w:p>
            <w:pPr>
              <w:spacing w:line="240" w:lineRule="auto"/>
              <w:jc w:val="left"/>
              <w:rPr>
                <w:rFonts w:ascii="宋体" w:hAnsi="宋体" w:cs="宋体"/>
                <w:szCs w:val="21"/>
              </w:rPr>
            </w:pPr>
          </w:p>
        </w:tc>
        <w:tc>
          <w:tcPr>
            <w:tcW w:w="698" w:type="dxa"/>
            <w:vAlign w:val="center"/>
          </w:tcPr>
          <w:p>
            <w:pPr>
              <w:spacing w:line="240" w:lineRule="auto"/>
              <w:ind w:right="33"/>
              <w:jc w:val="left"/>
              <w:rPr>
                <w:rFonts w:ascii="宋体" w:hAnsi="宋体" w:cs="宋体"/>
                <w:szCs w:val="21"/>
              </w:rPr>
            </w:pPr>
            <w:r>
              <w:rPr>
                <w:rFonts w:hint="eastAsia" w:ascii="宋体" w:hAnsi="宋体" w:cs="宋体"/>
                <w:szCs w:val="21"/>
              </w:rPr>
              <w:t>1.1.4</w:t>
            </w:r>
          </w:p>
        </w:tc>
        <w:tc>
          <w:tcPr>
            <w:tcW w:w="3845" w:type="dxa"/>
            <w:vAlign w:val="center"/>
          </w:tcPr>
          <w:p>
            <w:pPr>
              <w:spacing w:line="240" w:lineRule="auto"/>
              <w:ind w:left="55"/>
              <w:jc w:val="left"/>
              <w:rPr>
                <w:rFonts w:ascii="宋体" w:hAnsi="宋体" w:cs="宋体"/>
                <w:szCs w:val="21"/>
              </w:rPr>
            </w:pPr>
            <w:r>
              <w:rPr>
                <w:rFonts w:hint="eastAsia" w:ascii="宋体" w:hAnsi="宋体" w:cs="宋体"/>
                <w:szCs w:val="21"/>
              </w:rPr>
              <w:t>承包人任命的项目经理未经监理工程师和发包人同意无故缺席必须项目经理亲自处理的事务或参加的工程会议</w:t>
            </w:r>
          </w:p>
        </w:tc>
        <w:tc>
          <w:tcPr>
            <w:tcW w:w="1140" w:type="dxa"/>
            <w:gridSpan w:val="2"/>
            <w:vAlign w:val="center"/>
          </w:tcPr>
          <w:p>
            <w:pPr>
              <w:spacing w:line="240" w:lineRule="auto"/>
              <w:jc w:val="center"/>
              <w:rPr>
                <w:rFonts w:ascii="宋体" w:hAnsi="宋体" w:cs="宋体"/>
                <w:szCs w:val="21"/>
              </w:rPr>
            </w:pPr>
            <w:r>
              <w:rPr>
                <w:rFonts w:hint="eastAsia" w:ascii="宋体" w:hAnsi="宋体" w:cs="宋体"/>
                <w:szCs w:val="21"/>
              </w:rPr>
              <w:t>扣1分/次</w:t>
            </w:r>
          </w:p>
        </w:tc>
        <w:tc>
          <w:tcPr>
            <w:tcW w:w="1175" w:type="dxa"/>
            <w:gridSpan w:val="2"/>
            <w:vAlign w:val="center"/>
          </w:tcPr>
          <w:p>
            <w:pPr>
              <w:spacing w:line="240" w:lineRule="auto"/>
              <w:jc w:val="center"/>
              <w:rPr>
                <w:rFonts w:ascii="宋体" w:hAnsi="宋体" w:cs="宋体"/>
                <w:szCs w:val="21"/>
              </w:rPr>
            </w:pPr>
            <w:r>
              <w:rPr>
                <w:rFonts w:hint="eastAsia" w:ascii="宋体" w:hAnsi="宋体" w:cs="宋体"/>
                <w:szCs w:val="21"/>
              </w:rPr>
              <w:t>1万/次</w:t>
            </w:r>
          </w:p>
        </w:tc>
        <w:tc>
          <w:tcPr>
            <w:tcW w:w="1285" w:type="dxa"/>
            <w:gridSpan w:val="2"/>
            <w:vAlign w:val="center"/>
          </w:tcPr>
          <w:p>
            <w:pPr>
              <w:spacing w:line="240" w:lineRule="auto"/>
              <w:ind w:left="179"/>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52" w:type="dxa"/>
            <w:bottom w:w="0" w:type="dxa"/>
            <w:right w:w="19" w:type="dxa"/>
          </w:tblCellMar>
        </w:tblPrEx>
        <w:trPr>
          <w:gridBefore w:val="2"/>
          <w:wBefore w:w="30" w:type="dxa"/>
          <w:trHeight w:val="572" w:hRule="atLeast"/>
        </w:trPr>
        <w:tc>
          <w:tcPr>
            <w:tcW w:w="336" w:type="dxa"/>
            <w:vMerge w:val="continue"/>
          </w:tcPr>
          <w:p>
            <w:pPr>
              <w:spacing w:line="240" w:lineRule="auto"/>
              <w:jc w:val="left"/>
              <w:rPr>
                <w:rFonts w:ascii="宋体" w:hAnsi="宋体" w:cs="宋体"/>
                <w:szCs w:val="21"/>
              </w:rPr>
            </w:pPr>
          </w:p>
        </w:tc>
        <w:tc>
          <w:tcPr>
            <w:tcW w:w="551" w:type="dxa"/>
            <w:vMerge w:val="continue"/>
          </w:tcPr>
          <w:p>
            <w:pPr>
              <w:spacing w:line="240" w:lineRule="auto"/>
              <w:jc w:val="left"/>
              <w:rPr>
                <w:rFonts w:ascii="宋体" w:hAnsi="宋体" w:cs="宋体"/>
                <w:szCs w:val="21"/>
              </w:rPr>
            </w:pPr>
          </w:p>
        </w:tc>
        <w:tc>
          <w:tcPr>
            <w:tcW w:w="698" w:type="dxa"/>
            <w:vAlign w:val="center"/>
          </w:tcPr>
          <w:p>
            <w:pPr>
              <w:spacing w:line="240" w:lineRule="auto"/>
              <w:ind w:right="33"/>
              <w:jc w:val="left"/>
              <w:rPr>
                <w:rFonts w:ascii="宋体" w:hAnsi="宋体" w:cs="宋体"/>
                <w:szCs w:val="21"/>
              </w:rPr>
            </w:pPr>
            <w:r>
              <w:rPr>
                <w:rFonts w:hint="eastAsia" w:ascii="宋体" w:hAnsi="宋体" w:cs="宋体"/>
                <w:szCs w:val="21"/>
              </w:rPr>
              <w:t>1.1.5</w:t>
            </w:r>
          </w:p>
        </w:tc>
        <w:tc>
          <w:tcPr>
            <w:tcW w:w="3845" w:type="dxa"/>
            <w:vAlign w:val="center"/>
          </w:tcPr>
          <w:p>
            <w:pPr>
              <w:spacing w:line="240" w:lineRule="auto"/>
              <w:ind w:left="55"/>
              <w:jc w:val="left"/>
              <w:rPr>
                <w:rFonts w:ascii="宋体" w:hAnsi="宋体" w:cs="宋体"/>
                <w:szCs w:val="21"/>
              </w:rPr>
            </w:pPr>
            <w:r>
              <w:rPr>
                <w:rFonts w:hint="eastAsia" w:ascii="宋体" w:hAnsi="宋体" w:cs="宋体"/>
                <w:szCs w:val="21"/>
              </w:rPr>
              <w:t>项目经理、项目施工技术负责人、专职安全员每月驻守现场不足22天</w:t>
            </w:r>
          </w:p>
        </w:tc>
        <w:tc>
          <w:tcPr>
            <w:tcW w:w="1140" w:type="dxa"/>
            <w:gridSpan w:val="2"/>
            <w:vAlign w:val="center"/>
          </w:tcPr>
          <w:p>
            <w:pPr>
              <w:spacing w:line="240" w:lineRule="auto"/>
              <w:jc w:val="center"/>
              <w:rPr>
                <w:rFonts w:ascii="宋体" w:hAnsi="宋体" w:cs="宋体"/>
                <w:szCs w:val="21"/>
              </w:rPr>
            </w:pPr>
            <w:r>
              <w:rPr>
                <w:rFonts w:hint="eastAsia" w:ascii="宋体" w:hAnsi="宋体" w:cs="宋体"/>
                <w:szCs w:val="21"/>
              </w:rPr>
              <w:t>扣1分/天/人</w:t>
            </w:r>
          </w:p>
        </w:tc>
        <w:tc>
          <w:tcPr>
            <w:tcW w:w="1175" w:type="dxa"/>
            <w:gridSpan w:val="2"/>
            <w:vAlign w:val="center"/>
          </w:tcPr>
          <w:p>
            <w:pPr>
              <w:spacing w:line="240" w:lineRule="auto"/>
              <w:jc w:val="center"/>
              <w:rPr>
                <w:rFonts w:ascii="宋体" w:hAnsi="宋体" w:cs="宋体"/>
                <w:szCs w:val="21"/>
              </w:rPr>
            </w:pPr>
            <w:r>
              <w:rPr>
                <w:rFonts w:hint="eastAsia" w:ascii="宋体" w:hAnsi="宋体" w:cs="宋体"/>
                <w:szCs w:val="21"/>
              </w:rPr>
              <w:t>2000/天/人</w:t>
            </w:r>
          </w:p>
        </w:tc>
        <w:tc>
          <w:tcPr>
            <w:tcW w:w="1285" w:type="dxa"/>
            <w:gridSpan w:val="2"/>
            <w:vAlign w:val="center"/>
          </w:tcPr>
          <w:p>
            <w:pPr>
              <w:spacing w:line="240" w:lineRule="auto"/>
              <w:jc w:val="left"/>
              <w:rPr>
                <w:rFonts w:ascii="宋体" w:hAnsi="宋体" w:cs="宋体"/>
                <w:szCs w:val="21"/>
              </w:rPr>
            </w:pPr>
            <w:r>
              <w:rPr>
                <w:rFonts w:hint="eastAsia" w:ascii="宋体" w:hAnsi="宋体" w:cs="宋体"/>
                <w:szCs w:val="21"/>
              </w:rPr>
              <w:t>按照发包方考勤记录缺岗天数为准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52" w:type="dxa"/>
            <w:bottom w:w="0" w:type="dxa"/>
            <w:right w:w="19" w:type="dxa"/>
          </w:tblCellMar>
        </w:tblPrEx>
        <w:trPr>
          <w:gridBefore w:val="2"/>
          <w:wBefore w:w="30" w:type="dxa"/>
          <w:trHeight w:val="1170" w:hRule="atLeast"/>
        </w:trPr>
        <w:tc>
          <w:tcPr>
            <w:tcW w:w="336" w:type="dxa"/>
            <w:vMerge w:val="continue"/>
          </w:tcPr>
          <w:p>
            <w:pPr>
              <w:spacing w:line="240" w:lineRule="auto"/>
              <w:jc w:val="left"/>
              <w:rPr>
                <w:rFonts w:ascii="宋体" w:hAnsi="宋体" w:cs="宋体"/>
                <w:szCs w:val="21"/>
              </w:rPr>
            </w:pPr>
          </w:p>
        </w:tc>
        <w:tc>
          <w:tcPr>
            <w:tcW w:w="551" w:type="dxa"/>
            <w:vMerge w:val="restart"/>
            <w:vAlign w:val="center"/>
          </w:tcPr>
          <w:p>
            <w:pPr>
              <w:spacing w:line="240" w:lineRule="auto"/>
              <w:jc w:val="left"/>
              <w:rPr>
                <w:rFonts w:ascii="宋体" w:hAnsi="宋体" w:cs="宋体"/>
                <w:szCs w:val="21"/>
              </w:rPr>
            </w:pPr>
            <w:r>
              <w:rPr>
                <w:rFonts w:hint="eastAsia" w:ascii="宋体" w:hAnsi="宋体" w:cs="宋体"/>
                <w:szCs w:val="21"/>
              </w:rPr>
              <w:t>主</w:t>
            </w:r>
          </w:p>
          <w:p>
            <w:pPr>
              <w:spacing w:line="240" w:lineRule="auto"/>
              <w:jc w:val="left"/>
              <w:rPr>
                <w:rFonts w:ascii="宋体" w:hAnsi="宋体" w:cs="宋体"/>
                <w:szCs w:val="21"/>
              </w:rPr>
            </w:pPr>
            <w:r>
              <w:rPr>
                <w:rFonts w:hint="eastAsia" w:ascii="宋体" w:hAnsi="宋体" w:cs="宋体"/>
                <w:szCs w:val="21"/>
              </w:rPr>
              <w:t>要</w:t>
            </w:r>
          </w:p>
          <w:p>
            <w:pPr>
              <w:spacing w:line="240" w:lineRule="auto"/>
              <w:jc w:val="left"/>
              <w:rPr>
                <w:rFonts w:ascii="宋体" w:hAnsi="宋体" w:cs="宋体"/>
                <w:szCs w:val="21"/>
              </w:rPr>
            </w:pPr>
            <w:r>
              <w:rPr>
                <w:rFonts w:hint="eastAsia" w:ascii="宋体" w:hAnsi="宋体" w:cs="宋体"/>
                <w:szCs w:val="21"/>
              </w:rPr>
              <w:t>人</w:t>
            </w:r>
          </w:p>
          <w:p>
            <w:pPr>
              <w:spacing w:line="240" w:lineRule="auto"/>
              <w:jc w:val="left"/>
              <w:rPr>
                <w:rFonts w:ascii="宋体" w:hAnsi="宋体" w:cs="宋体"/>
                <w:szCs w:val="21"/>
              </w:rPr>
            </w:pPr>
            <w:r>
              <w:rPr>
                <w:rFonts w:hint="eastAsia" w:ascii="宋体" w:hAnsi="宋体" w:cs="宋体"/>
                <w:szCs w:val="21"/>
              </w:rPr>
              <w:t>员</w:t>
            </w:r>
          </w:p>
        </w:tc>
        <w:tc>
          <w:tcPr>
            <w:tcW w:w="698" w:type="dxa"/>
            <w:vAlign w:val="center"/>
          </w:tcPr>
          <w:p>
            <w:pPr>
              <w:spacing w:line="240" w:lineRule="auto"/>
              <w:ind w:right="33"/>
              <w:jc w:val="left"/>
              <w:rPr>
                <w:rFonts w:ascii="宋体" w:hAnsi="宋体" w:cs="宋体"/>
                <w:szCs w:val="21"/>
              </w:rPr>
            </w:pPr>
            <w:r>
              <w:rPr>
                <w:rFonts w:hint="eastAsia" w:ascii="宋体" w:hAnsi="宋体" w:cs="宋体"/>
                <w:szCs w:val="21"/>
              </w:rPr>
              <w:t>1.2.1</w:t>
            </w:r>
          </w:p>
        </w:tc>
        <w:tc>
          <w:tcPr>
            <w:tcW w:w="3845" w:type="dxa"/>
            <w:vAlign w:val="center"/>
          </w:tcPr>
          <w:p>
            <w:pPr>
              <w:spacing w:line="240" w:lineRule="auto"/>
              <w:ind w:left="55"/>
              <w:jc w:val="left"/>
              <w:rPr>
                <w:rFonts w:ascii="宋体" w:hAnsi="宋体" w:cs="宋体"/>
                <w:szCs w:val="21"/>
              </w:rPr>
            </w:pPr>
            <w:r>
              <w:rPr>
                <w:rFonts w:hint="eastAsia" w:ascii="宋体" w:hAnsi="宋体" w:cs="宋体"/>
                <w:szCs w:val="21"/>
              </w:rPr>
              <w:t>配备的项目管理机构和项目管理人员（专业、职称、人数、能力等）不满足工程建设规模和技术安全要求并确保常驻现场的</w:t>
            </w:r>
          </w:p>
        </w:tc>
        <w:tc>
          <w:tcPr>
            <w:tcW w:w="1140" w:type="dxa"/>
            <w:gridSpan w:val="2"/>
            <w:vAlign w:val="center"/>
          </w:tcPr>
          <w:p>
            <w:pPr>
              <w:spacing w:line="240" w:lineRule="auto"/>
              <w:jc w:val="center"/>
              <w:rPr>
                <w:rFonts w:ascii="宋体" w:hAnsi="宋体" w:cs="宋体"/>
                <w:szCs w:val="21"/>
              </w:rPr>
            </w:pPr>
            <w:r>
              <w:rPr>
                <w:rFonts w:hint="eastAsia" w:ascii="宋体" w:hAnsi="宋体" w:cs="宋体"/>
                <w:szCs w:val="21"/>
              </w:rPr>
              <w:t>扣0.5分/人</w:t>
            </w:r>
          </w:p>
        </w:tc>
        <w:tc>
          <w:tcPr>
            <w:tcW w:w="1175" w:type="dxa"/>
            <w:gridSpan w:val="2"/>
            <w:vAlign w:val="center"/>
          </w:tcPr>
          <w:p>
            <w:pPr>
              <w:spacing w:line="240" w:lineRule="auto"/>
              <w:jc w:val="center"/>
              <w:rPr>
                <w:rFonts w:ascii="宋体" w:hAnsi="宋体" w:cs="宋体"/>
                <w:szCs w:val="21"/>
              </w:rPr>
            </w:pPr>
            <w:r>
              <w:rPr>
                <w:rFonts w:hint="eastAsia" w:ascii="宋体" w:hAnsi="宋体" w:cs="宋体"/>
                <w:szCs w:val="21"/>
              </w:rPr>
              <w:t>5000元/人</w:t>
            </w:r>
          </w:p>
        </w:tc>
        <w:tc>
          <w:tcPr>
            <w:tcW w:w="1285" w:type="dxa"/>
            <w:gridSpan w:val="2"/>
            <w:vAlign w:val="center"/>
          </w:tcPr>
          <w:p>
            <w:pPr>
              <w:spacing w:line="240" w:lineRule="auto"/>
              <w:ind w:left="90"/>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52" w:type="dxa"/>
            <w:bottom w:w="0" w:type="dxa"/>
            <w:right w:w="19" w:type="dxa"/>
          </w:tblCellMar>
        </w:tblPrEx>
        <w:trPr>
          <w:gridBefore w:val="2"/>
          <w:wBefore w:w="30" w:type="dxa"/>
          <w:trHeight w:val="848" w:hRule="atLeast"/>
        </w:trPr>
        <w:tc>
          <w:tcPr>
            <w:tcW w:w="336" w:type="dxa"/>
            <w:vMerge w:val="continue"/>
          </w:tcPr>
          <w:p>
            <w:pPr>
              <w:spacing w:line="240" w:lineRule="auto"/>
              <w:jc w:val="left"/>
              <w:rPr>
                <w:rFonts w:ascii="宋体" w:hAnsi="宋体" w:cs="宋体"/>
                <w:szCs w:val="21"/>
              </w:rPr>
            </w:pPr>
          </w:p>
        </w:tc>
        <w:tc>
          <w:tcPr>
            <w:tcW w:w="551" w:type="dxa"/>
            <w:vMerge w:val="continue"/>
          </w:tcPr>
          <w:p>
            <w:pPr>
              <w:spacing w:line="240" w:lineRule="auto"/>
              <w:jc w:val="left"/>
              <w:rPr>
                <w:rFonts w:ascii="宋体" w:hAnsi="宋体" w:cs="宋体"/>
                <w:szCs w:val="21"/>
              </w:rPr>
            </w:pPr>
          </w:p>
        </w:tc>
        <w:tc>
          <w:tcPr>
            <w:tcW w:w="698" w:type="dxa"/>
            <w:vAlign w:val="center"/>
          </w:tcPr>
          <w:p>
            <w:pPr>
              <w:spacing w:line="240" w:lineRule="auto"/>
              <w:ind w:right="33"/>
              <w:jc w:val="left"/>
              <w:rPr>
                <w:rFonts w:ascii="宋体" w:hAnsi="宋体" w:cs="宋体"/>
                <w:szCs w:val="21"/>
              </w:rPr>
            </w:pPr>
            <w:r>
              <w:rPr>
                <w:rFonts w:hint="eastAsia" w:ascii="宋体" w:hAnsi="宋体" w:cs="宋体"/>
                <w:szCs w:val="21"/>
              </w:rPr>
              <w:t>1.2.2</w:t>
            </w:r>
          </w:p>
        </w:tc>
        <w:tc>
          <w:tcPr>
            <w:tcW w:w="3845" w:type="dxa"/>
            <w:vAlign w:val="center"/>
          </w:tcPr>
          <w:p>
            <w:pPr>
              <w:spacing w:line="240" w:lineRule="auto"/>
              <w:ind w:left="55"/>
              <w:jc w:val="left"/>
              <w:rPr>
                <w:rFonts w:ascii="宋体" w:hAnsi="宋体" w:cs="宋体"/>
                <w:szCs w:val="21"/>
              </w:rPr>
            </w:pPr>
            <w:r>
              <w:rPr>
                <w:rFonts w:hint="eastAsia" w:ascii="宋体" w:hAnsi="宋体" w:cs="宋体"/>
                <w:szCs w:val="21"/>
              </w:rPr>
              <w:t>撤换项目管理人员前未征得发包人批准同意擅自更换的</w:t>
            </w:r>
          </w:p>
        </w:tc>
        <w:tc>
          <w:tcPr>
            <w:tcW w:w="1140" w:type="dxa"/>
            <w:gridSpan w:val="2"/>
            <w:vAlign w:val="center"/>
          </w:tcPr>
          <w:p>
            <w:pPr>
              <w:spacing w:line="240" w:lineRule="auto"/>
              <w:jc w:val="left"/>
              <w:rPr>
                <w:rFonts w:ascii="宋体" w:hAnsi="宋体" w:cs="宋体"/>
                <w:szCs w:val="21"/>
              </w:rPr>
            </w:pPr>
            <w:r>
              <w:rPr>
                <w:rFonts w:hint="eastAsia" w:ascii="宋体" w:hAnsi="宋体" w:cs="宋体"/>
                <w:szCs w:val="21"/>
              </w:rPr>
              <w:t>扣1分/人</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1万/人</w:t>
            </w:r>
          </w:p>
        </w:tc>
        <w:tc>
          <w:tcPr>
            <w:tcW w:w="1285" w:type="dxa"/>
            <w:gridSpan w:val="2"/>
            <w:vAlign w:val="center"/>
          </w:tcPr>
          <w:p>
            <w:pPr>
              <w:spacing w:line="240" w:lineRule="auto"/>
              <w:ind w:left="179"/>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52" w:type="dxa"/>
            <w:bottom w:w="0" w:type="dxa"/>
            <w:right w:w="19" w:type="dxa"/>
          </w:tblCellMar>
        </w:tblPrEx>
        <w:trPr>
          <w:gridBefore w:val="2"/>
          <w:wBefore w:w="30" w:type="dxa"/>
          <w:trHeight w:val="681" w:hRule="atLeast"/>
        </w:trPr>
        <w:tc>
          <w:tcPr>
            <w:tcW w:w="336" w:type="dxa"/>
            <w:vMerge w:val="continue"/>
          </w:tcPr>
          <w:p>
            <w:pPr>
              <w:spacing w:line="240" w:lineRule="auto"/>
              <w:jc w:val="left"/>
              <w:rPr>
                <w:rFonts w:ascii="宋体" w:hAnsi="宋体" w:cs="宋体"/>
                <w:szCs w:val="21"/>
              </w:rPr>
            </w:pPr>
          </w:p>
        </w:tc>
        <w:tc>
          <w:tcPr>
            <w:tcW w:w="551" w:type="dxa"/>
            <w:vMerge w:val="continue"/>
          </w:tcPr>
          <w:p>
            <w:pPr>
              <w:spacing w:line="240" w:lineRule="auto"/>
              <w:jc w:val="left"/>
              <w:rPr>
                <w:rFonts w:ascii="宋体" w:hAnsi="宋体" w:cs="宋体"/>
                <w:szCs w:val="21"/>
              </w:rPr>
            </w:pPr>
          </w:p>
        </w:tc>
        <w:tc>
          <w:tcPr>
            <w:tcW w:w="698" w:type="dxa"/>
            <w:vAlign w:val="center"/>
          </w:tcPr>
          <w:p>
            <w:pPr>
              <w:spacing w:line="240" w:lineRule="auto"/>
              <w:ind w:right="33"/>
              <w:jc w:val="left"/>
              <w:rPr>
                <w:rFonts w:ascii="宋体" w:hAnsi="宋体" w:cs="宋体"/>
                <w:szCs w:val="21"/>
              </w:rPr>
            </w:pPr>
            <w:r>
              <w:rPr>
                <w:rFonts w:hint="eastAsia" w:ascii="宋体" w:hAnsi="宋体" w:cs="宋体"/>
                <w:szCs w:val="21"/>
              </w:rPr>
              <w:t>1.2.3</w:t>
            </w:r>
          </w:p>
        </w:tc>
        <w:tc>
          <w:tcPr>
            <w:tcW w:w="3845" w:type="dxa"/>
            <w:vAlign w:val="center"/>
          </w:tcPr>
          <w:p>
            <w:pPr>
              <w:spacing w:line="240" w:lineRule="auto"/>
              <w:ind w:left="55"/>
              <w:jc w:val="left"/>
              <w:rPr>
                <w:rFonts w:ascii="宋体" w:hAnsi="宋体" w:cs="宋体"/>
                <w:szCs w:val="21"/>
              </w:rPr>
            </w:pPr>
            <w:r>
              <w:rPr>
                <w:rFonts w:hint="eastAsia" w:ascii="宋体" w:hAnsi="宋体" w:cs="宋体"/>
                <w:szCs w:val="21"/>
              </w:rPr>
              <w:t>项目管理人员未经监理工程师和发包人同意无故缺席他们必须亲自处理的事务或参加的工程会议的</w:t>
            </w:r>
          </w:p>
        </w:tc>
        <w:tc>
          <w:tcPr>
            <w:tcW w:w="1140" w:type="dxa"/>
            <w:gridSpan w:val="2"/>
            <w:vAlign w:val="center"/>
          </w:tcPr>
          <w:p>
            <w:pPr>
              <w:spacing w:line="240" w:lineRule="auto"/>
              <w:jc w:val="left"/>
              <w:rPr>
                <w:rFonts w:ascii="宋体" w:hAnsi="宋体" w:cs="宋体"/>
                <w:szCs w:val="21"/>
              </w:rPr>
            </w:pPr>
            <w:r>
              <w:rPr>
                <w:rFonts w:hint="eastAsia" w:ascii="宋体" w:hAnsi="宋体" w:cs="宋体"/>
                <w:szCs w:val="21"/>
              </w:rPr>
              <w:t>扣0.5分/人. 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2000元/人.次</w:t>
            </w:r>
          </w:p>
        </w:tc>
        <w:tc>
          <w:tcPr>
            <w:tcW w:w="1285" w:type="dxa"/>
            <w:gridSpan w:val="2"/>
          </w:tcPr>
          <w:p>
            <w:pPr>
              <w:spacing w:line="240" w:lineRule="auto"/>
              <w:ind w:right="1"/>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52" w:type="dxa"/>
            <w:bottom w:w="0" w:type="dxa"/>
            <w:right w:w="19" w:type="dxa"/>
          </w:tblCellMar>
        </w:tblPrEx>
        <w:trPr>
          <w:gridBefore w:val="2"/>
          <w:wBefore w:w="30" w:type="dxa"/>
          <w:trHeight w:val="730" w:hRule="atLeast"/>
        </w:trPr>
        <w:tc>
          <w:tcPr>
            <w:tcW w:w="336" w:type="dxa"/>
            <w:vMerge w:val="continue"/>
          </w:tcPr>
          <w:p>
            <w:pPr>
              <w:spacing w:line="240" w:lineRule="auto"/>
              <w:jc w:val="left"/>
              <w:rPr>
                <w:rFonts w:ascii="宋体" w:hAnsi="宋体" w:cs="宋体"/>
                <w:szCs w:val="21"/>
              </w:rPr>
            </w:pPr>
          </w:p>
        </w:tc>
        <w:tc>
          <w:tcPr>
            <w:tcW w:w="551" w:type="dxa"/>
            <w:vMerge w:val="continue"/>
          </w:tcPr>
          <w:p>
            <w:pPr>
              <w:spacing w:line="240" w:lineRule="auto"/>
              <w:jc w:val="left"/>
              <w:rPr>
                <w:rFonts w:ascii="宋体" w:hAnsi="宋体" w:cs="宋体"/>
                <w:szCs w:val="21"/>
              </w:rPr>
            </w:pPr>
          </w:p>
        </w:tc>
        <w:tc>
          <w:tcPr>
            <w:tcW w:w="698" w:type="dxa"/>
            <w:vAlign w:val="center"/>
          </w:tcPr>
          <w:p>
            <w:pPr>
              <w:spacing w:line="240" w:lineRule="auto"/>
              <w:ind w:right="33"/>
              <w:jc w:val="left"/>
              <w:rPr>
                <w:rFonts w:ascii="宋体" w:hAnsi="宋体" w:cs="宋体"/>
                <w:szCs w:val="21"/>
              </w:rPr>
            </w:pPr>
            <w:r>
              <w:rPr>
                <w:rFonts w:hint="eastAsia" w:ascii="宋体" w:hAnsi="宋体" w:cs="宋体"/>
                <w:szCs w:val="21"/>
              </w:rPr>
              <w:t>1.2.4</w:t>
            </w:r>
          </w:p>
        </w:tc>
        <w:tc>
          <w:tcPr>
            <w:tcW w:w="3845" w:type="dxa"/>
            <w:vAlign w:val="center"/>
          </w:tcPr>
          <w:p>
            <w:pPr>
              <w:spacing w:line="240" w:lineRule="auto"/>
              <w:ind w:left="55"/>
              <w:jc w:val="left"/>
              <w:rPr>
                <w:rFonts w:ascii="宋体" w:hAnsi="宋体" w:cs="宋体"/>
                <w:szCs w:val="21"/>
              </w:rPr>
            </w:pPr>
            <w:r>
              <w:rPr>
                <w:rFonts w:hint="eastAsia" w:ascii="宋体" w:hAnsi="宋体" w:cs="宋体"/>
                <w:szCs w:val="21"/>
              </w:rPr>
              <w:t>承包人在接到监理人要求人员进场的通知3天后仍未安排相关人员进场，从第4天算起扣除承包人的违约金</w:t>
            </w:r>
          </w:p>
        </w:tc>
        <w:tc>
          <w:tcPr>
            <w:tcW w:w="1140" w:type="dxa"/>
            <w:gridSpan w:val="2"/>
            <w:vAlign w:val="center"/>
          </w:tcPr>
          <w:p>
            <w:pPr>
              <w:spacing w:line="240" w:lineRule="auto"/>
              <w:jc w:val="left"/>
              <w:rPr>
                <w:rFonts w:ascii="宋体" w:hAnsi="宋体" w:cs="宋体"/>
                <w:szCs w:val="21"/>
              </w:rPr>
            </w:pPr>
            <w:r>
              <w:rPr>
                <w:rFonts w:hint="eastAsia" w:ascii="宋体" w:hAnsi="宋体" w:cs="宋体"/>
                <w:szCs w:val="21"/>
              </w:rPr>
              <w:t>项目经理、项目施工技术负责人扣3分/人.日；专职安全员扣1分/人.日</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项目经理、项目施工技术负责人1万/人.日；专职安全员3000元/人.日</w:t>
            </w:r>
          </w:p>
        </w:tc>
        <w:tc>
          <w:tcPr>
            <w:tcW w:w="1285" w:type="dxa"/>
            <w:gridSpan w:val="2"/>
            <w:vAlign w:val="center"/>
          </w:tcPr>
          <w:p>
            <w:pPr>
              <w:spacing w:line="240" w:lineRule="auto"/>
              <w:jc w:val="left"/>
              <w:rPr>
                <w:rFonts w:ascii="宋体" w:hAnsi="宋体" w:cs="宋体"/>
                <w:szCs w:val="21"/>
              </w:rPr>
            </w:pPr>
            <w:r>
              <w:rPr>
                <w:rFonts w:hint="eastAsia" w:ascii="宋体" w:hAnsi="宋体" w:cs="宋体"/>
                <w:szCs w:val="21"/>
              </w:rPr>
              <w:t>如果承包人接到通知后5天未安排相关人员进场，将要求其更换人选，同时执行人员更换违约条款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52" w:type="dxa"/>
            <w:bottom w:w="0" w:type="dxa"/>
            <w:right w:w="19" w:type="dxa"/>
          </w:tblCellMar>
        </w:tblPrEx>
        <w:trPr>
          <w:gridBefore w:val="2"/>
          <w:wBefore w:w="30" w:type="dxa"/>
          <w:trHeight w:val="662" w:hRule="atLeast"/>
        </w:trPr>
        <w:tc>
          <w:tcPr>
            <w:tcW w:w="336" w:type="dxa"/>
            <w:vMerge w:val="continue"/>
          </w:tcPr>
          <w:p>
            <w:pPr>
              <w:spacing w:line="240" w:lineRule="auto"/>
              <w:jc w:val="left"/>
              <w:rPr>
                <w:rFonts w:ascii="宋体" w:hAnsi="宋体" w:cs="宋体"/>
                <w:szCs w:val="21"/>
              </w:rPr>
            </w:pPr>
          </w:p>
        </w:tc>
        <w:tc>
          <w:tcPr>
            <w:tcW w:w="551" w:type="dxa"/>
            <w:vMerge w:val="restart"/>
            <w:vAlign w:val="center"/>
          </w:tcPr>
          <w:p>
            <w:pPr>
              <w:spacing w:line="240" w:lineRule="auto"/>
              <w:ind w:left="58" w:right="81"/>
              <w:jc w:val="left"/>
              <w:rPr>
                <w:rFonts w:ascii="宋体" w:hAnsi="宋体" w:cs="宋体"/>
                <w:szCs w:val="21"/>
              </w:rPr>
            </w:pPr>
            <w:r>
              <w:rPr>
                <w:rFonts w:hint="eastAsia" w:ascii="宋体" w:hAnsi="宋体" w:cs="宋体"/>
                <w:szCs w:val="21"/>
              </w:rPr>
              <w:t>培训执业</w:t>
            </w:r>
          </w:p>
        </w:tc>
        <w:tc>
          <w:tcPr>
            <w:tcW w:w="698" w:type="dxa"/>
            <w:vAlign w:val="center"/>
          </w:tcPr>
          <w:p>
            <w:pPr>
              <w:spacing w:line="240" w:lineRule="auto"/>
              <w:ind w:right="33"/>
              <w:jc w:val="left"/>
              <w:rPr>
                <w:rFonts w:ascii="宋体" w:hAnsi="宋体" w:cs="宋体"/>
                <w:szCs w:val="21"/>
              </w:rPr>
            </w:pPr>
            <w:r>
              <w:rPr>
                <w:rFonts w:hint="eastAsia" w:ascii="宋体" w:hAnsi="宋体" w:cs="宋体"/>
                <w:szCs w:val="21"/>
              </w:rPr>
              <w:t>1.3.1</w:t>
            </w:r>
          </w:p>
        </w:tc>
        <w:tc>
          <w:tcPr>
            <w:tcW w:w="3845" w:type="dxa"/>
            <w:vAlign w:val="center"/>
          </w:tcPr>
          <w:p>
            <w:pPr>
              <w:spacing w:line="240" w:lineRule="auto"/>
              <w:ind w:left="55"/>
              <w:jc w:val="left"/>
              <w:rPr>
                <w:rFonts w:ascii="宋体" w:hAnsi="宋体" w:cs="宋体"/>
                <w:szCs w:val="21"/>
              </w:rPr>
            </w:pPr>
            <w:r>
              <w:rPr>
                <w:rFonts w:hint="eastAsia" w:ascii="宋体" w:hAnsi="宋体" w:cs="宋体"/>
                <w:szCs w:val="21"/>
              </w:rPr>
              <w:t>项目经理、专职安全生产管理人员未经安全培训考核合格持证上岗的</w:t>
            </w:r>
          </w:p>
        </w:tc>
        <w:tc>
          <w:tcPr>
            <w:tcW w:w="1140" w:type="dxa"/>
            <w:gridSpan w:val="2"/>
            <w:vAlign w:val="center"/>
          </w:tcPr>
          <w:p>
            <w:pPr>
              <w:spacing w:line="240" w:lineRule="auto"/>
              <w:jc w:val="left"/>
              <w:rPr>
                <w:rFonts w:ascii="宋体" w:hAnsi="宋体" w:cs="宋体"/>
                <w:szCs w:val="21"/>
              </w:rPr>
            </w:pPr>
            <w:r>
              <w:rPr>
                <w:rFonts w:hint="eastAsia" w:ascii="宋体" w:hAnsi="宋体" w:cs="宋体"/>
                <w:szCs w:val="21"/>
              </w:rPr>
              <w:t>扣1分/次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1万/次</w:t>
            </w:r>
          </w:p>
        </w:tc>
        <w:tc>
          <w:tcPr>
            <w:tcW w:w="1285" w:type="dxa"/>
            <w:gridSpan w:val="2"/>
            <w:vAlign w:val="center"/>
          </w:tcPr>
          <w:p>
            <w:pPr>
              <w:spacing w:line="240" w:lineRule="auto"/>
              <w:ind w:left="179"/>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52" w:type="dxa"/>
            <w:bottom w:w="0" w:type="dxa"/>
            <w:right w:w="19" w:type="dxa"/>
          </w:tblCellMar>
        </w:tblPrEx>
        <w:trPr>
          <w:gridBefore w:val="2"/>
          <w:wBefore w:w="30" w:type="dxa"/>
          <w:trHeight w:val="850" w:hRule="atLeast"/>
        </w:trPr>
        <w:tc>
          <w:tcPr>
            <w:tcW w:w="336" w:type="dxa"/>
            <w:vMerge w:val="continue"/>
          </w:tcPr>
          <w:p>
            <w:pPr>
              <w:spacing w:line="240" w:lineRule="auto"/>
              <w:jc w:val="left"/>
              <w:rPr>
                <w:rFonts w:ascii="宋体" w:hAnsi="宋体" w:cs="宋体"/>
                <w:szCs w:val="21"/>
              </w:rPr>
            </w:pPr>
          </w:p>
        </w:tc>
        <w:tc>
          <w:tcPr>
            <w:tcW w:w="551" w:type="dxa"/>
            <w:vMerge w:val="continue"/>
          </w:tcPr>
          <w:p>
            <w:pPr>
              <w:spacing w:line="240" w:lineRule="auto"/>
              <w:jc w:val="left"/>
              <w:rPr>
                <w:rFonts w:ascii="宋体" w:hAnsi="宋体" w:cs="宋体"/>
                <w:szCs w:val="21"/>
              </w:rPr>
            </w:pPr>
          </w:p>
        </w:tc>
        <w:tc>
          <w:tcPr>
            <w:tcW w:w="698" w:type="dxa"/>
            <w:vAlign w:val="center"/>
          </w:tcPr>
          <w:p>
            <w:pPr>
              <w:spacing w:line="240" w:lineRule="auto"/>
              <w:ind w:right="33"/>
              <w:jc w:val="left"/>
              <w:rPr>
                <w:rFonts w:ascii="宋体" w:hAnsi="宋体" w:cs="宋体"/>
                <w:szCs w:val="21"/>
              </w:rPr>
            </w:pPr>
            <w:r>
              <w:rPr>
                <w:rFonts w:hint="eastAsia" w:ascii="宋体" w:hAnsi="宋体" w:cs="宋体"/>
                <w:szCs w:val="21"/>
              </w:rPr>
              <w:t>1.3.2</w:t>
            </w:r>
          </w:p>
        </w:tc>
        <w:tc>
          <w:tcPr>
            <w:tcW w:w="3845" w:type="dxa"/>
            <w:vAlign w:val="center"/>
          </w:tcPr>
          <w:p>
            <w:pPr>
              <w:spacing w:line="240" w:lineRule="auto"/>
              <w:ind w:left="55"/>
              <w:jc w:val="left"/>
              <w:rPr>
                <w:rFonts w:ascii="宋体" w:hAnsi="宋体" w:cs="宋体"/>
                <w:szCs w:val="21"/>
              </w:rPr>
            </w:pPr>
            <w:r>
              <w:rPr>
                <w:rFonts w:hint="eastAsia" w:ascii="宋体" w:hAnsi="宋体" w:cs="宋体"/>
                <w:szCs w:val="21"/>
              </w:rPr>
              <w:t>项目经理、专职安全生产管理人员等人员未履行安全生产管理职责的</w:t>
            </w:r>
          </w:p>
        </w:tc>
        <w:tc>
          <w:tcPr>
            <w:tcW w:w="1140" w:type="dxa"/>
            <w:gridSpan w:val="2"/>
            <w:vAlign w:val="center"/>
          </w:tcPr>
          <w:p>
            <w:pPr>
              <w:spacing w:line="240" w:lineRule="auto"/>
              <w:jc w:val="left"/>
              <w:rPr>
                <w:rFonts w:ascii="宋体" w:hAnsi="宋体" w:cs="宋体"/>
                <w:szCs w:val="21"/>
              </w:rPr>
            </w:pPr>
            <w:r>
              <w:rPr>
                <w:rFonts w:hint="eastAsia" w:ascii="宋体" w:hAnsi="宋体" w:cs="宋体"/>
                <w:szCs w:val="21"/>
              </w:rPr>
              <w:t>扣1分/人</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2000元/人</w:t>
            </w:r>
          </w:p>
        </w:tc>
        <w:tc>
          <w:tcPr>
            <w:tcW w:w="1285" w:type="dxa"/>
            <w:gridSpan w:val="2"/>
            <w:vAlign w:val="center"/>
          </w:tcPr>
          <w:p>
            <w:pPr>
              <w:spacing w:line="240" w:lineRule="auto"/>
              <w:ind w:left="179"/>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52" w:type="dxa"/>
            <w:bottom w:w="0" w:type="dxa"/>
            <w:right w:w="19" w:type="dxa"/>
          </w:tblCellMar>
        </w:tblPrEx>
        <w:trPr>
          <w:gridBefore w:val="2"/>
          <w:wBefore w:w="30" w:type="dxa"/>
          <w:trHeight w:val="831" w:hRule="atLeast"/>
        </w:trPr>
        <w:tc>
          <w:tcPr>
            <w:tcW w:w="336" w:type="dxa"/>
            <w:vMerge w:val="continue"/>
          </w:tcPr>
          <w:p>
            <w:pPr>
              <w:spacing w:line="240" w:lineRule="auto"/>
              <w:jc w:val="left"/>
              <w:rPr>
                <w:rFonts w:ascii="宋体" w:hAnsi="宋体" w:cs="宋体"/>
                <w:szCs w:val="21"/>
              </w:rPr>
            </w:pPr>
          </w:p>
        </w:tc>
        <w:tc>
          <w:tcPr>
            <w:tcW w:w="551" w:type="dxa"/>
            <w:vMerge w:val="continue"/>
          </w:tcPr>
          <w:p>
            <w:pPr>
              <w:spacing w:line="240" w:lineRule="auto"/>
              <w:jc w:val="left"/>
              <w:rPr>
                <w:rFonts w:ascii="宋体" w:hAnsi="宋体" w:cs="宋体"/>
                <w:szCs w:val="21"/>
              </w:rPr>
            </w:pPr>
          </w:p>
        </w:tc>
        <w:tc>
          <w:tcPr>
            <w:tcW w:w="698" w:type="dxa"/>
            <w:vAlign w:val="center"/>
          </w:tcPr>
          <w:p>
            <w:pPr>
              <w:spacing w:line="240" w:lineRule="auto"/>
              <w:ind w:right="33"/>
              <w:jc w:val="left"/>
              <w:rPr>
                <w:rFonts w:ascii="宋体" w:hAnsi="宋体" w:cs="宋体"/>
                <w:szCs w:val="21"/>
              </w:rPr>
            </w:pPr>
            <w:r>
              <w:rPr>
                <w:rFonts w:hint="eastAsia" w:ascii="宋体" w:hAnsi="宋体" w:cs="宋体"/>
                <w:szCs w:val="21"/>
              </w:rPr>
              <w:t>1.3.3</w:t>
            </w:r>
          </w:p>
        </w:tc>
        <w:tc>
          <w:tcPr>
            <w:tcW w:w="3845" w:type="dxa"/>
            <w:vAlign w:val="center"/>
          </w:tcPr>
          <w:p>
            <w:pPr>
              <w:spacing w:line="240" w:lineRule="auto"/>
              <w:ind w:left="55"/>
              <w:jc w:val="left"/>
              <w:rPr>
                <w:rFonts w:ascii="宋体" w:hAnsi="宋体" w:cs="宋体"/>
                <w:szCs w:val="21"/>
              </w:rPr>
            </w:pPr>
            <w:r>
              <w:rPr>
                <w:rFonts w:hint="eastAsia" w:ascii="宋体" w:hAnsi="宋体" w:cs="宋体"/>
                <w:szCs w:val="21"/>
              </w:rPr>
              <w:t>注册执业人员仅在项目挂名不实际履行职责的，或伪造注册执业资格证书、图签、印章执业的</w:t>
            </w:r>
          </w:p>
        </w:tc>
        <w:tc>
          <w:tcPr>
            <w:tcW w:w="1140" w:type="dxa"/>
            <w:gridSpan w:val="2"/>
            <w:vAlign w:val="center"/>
          </w:tcPr>
          <w:p>
            <w:pPr>
              <w:spacing w:line="240" w:lineRule="auto"/>
              <w:jc w:val="left"/>
              <w:rPr>
                <w:rFonts w:ascii="宋体" w:hAnsi="宋体" w:cs="宋体"/>
                <w:szCs w:val="21"/>
              </w:rPr>
            </w:pPr>
            <w:r>
              <w:rPr>
                <w:rFonts w:hint="eastAsia" w:ascii="宋体" w:hAnsi="宋体" w:cs="宋体"/>
                <w:szCs w:val="21"/>
              </w:rPr>
              <w:t>扣5分/人</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5万/人</w:t>
            </w:r>
          </w:p>
        </w:tc>
        <w:tc>
          <w:tcPr>
            <w:tcW w:w="1285" w:type="dxa"/>
            <w:gridSpan w:val="2"/>
            <w:vAlign w:val="center"/>
          </w:tcPr>
          <w:p>
            <w:pPr>
              <w:spacing w:line="240" w:lineRule="auto"/>
              <w:ind w:left="179"/>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52" w:type="dxa"/>
            <w:bottom w:w="0" w:type="dxa"/>
            <w:right w:w="19" w:type="dxa"/>
          </w:tblCellMar>
        </w:tblPrEx>
        <w:trPr>
          <w:gridBefore w:val="2"/>
          <w:wBefore w:w="30" w:type="dxa"/>
          <w:trHeight w:val="640" w:hRule="atLeast"/>
        </w:trPr>
        <w:tc>
          <w:tcPr>
            <w:tcW w:w="336" w:type="dxa"/>
            <w:vMerge w:val="continue"/>
          </w:tcPr>
          <w:p>
            <w:pPr>
              <w:spacing w:line="240" w:lineRule="auto"/>
              <w:jc w:val="left"/>
              <w:rPr>
                <w:rFonts w:ascii="宋体" w:hAnsi="宋体" w:cs="宋体"/>
                <w:szCs w:val="21"/>
              </w:rPr>
            </w:pPr>
          </w:p>
        </w:tc>
        <w:tc>
          <w:tcPr>
            <w:tcW w:w="551" w:type="dxa"/>
            <w:vMerge w:val="continue"/>
          </w:tcPr>
          <w:p>
            <w:pPr>
              <w:spacing w:line="240" w:lineRule="auto"/>
              <w:jc w:val="left"/>
              <w:rPr>
                <w:rFonts w:ascii="宋体" w:hAnsi="宋体" w:cs="宋体"/>
                <w:szCs w:val="21"/>
              </w:rPr>
            </w:pPr>
          </w:p>
        </w:tc>
        <w:tc>
          <w:tcPr>
            <w:tcW w:w="698" w:type="dxa"/>
            <w:vAlign w:val="center"/>
          </w:tcPr>
          <w:p>
            <w:pPr>
              <w:spacing w:line="240" w:lineRule="auto"/>
              <w:ind w:right="33"/>
              <w:jc w:val="left"/>
              <w:rPr>
                <w:rFonts w:ascii="宋体" w:hAnsi="宋体" w:cs="宋体"/>
                <w:szCs w:val="21"/>
              </w:rPr>
            </w:pPr>
            <w:r>
              <w:rPr>
                <w:rFonts w:hint="eastAsia" w:ascii="宋体" w:hAnsi="宋体" w:cs="宋体"/>
                <w:szCs w:val="21"/>
              </w:rPr>
              <w:t>1.3.4</w:t>
            </w:r>
          </w:p>
        </w:tc>
        <w:tc>
          <w:tcPr>
            <w:tcW w:w="3845" w:type="dxa"/>
            <w:vAlign w:val="center"/>
          </w:tcPr>
          <w:p>
            <w:pPr>
              <w:spacing w:line="240" w:lineRule="auto"/>
              <w:ind w:left="55"/>
              <w:jc w:val="left"/>
              <w:rPr>
                <w:rFonts w:ascii="宋体" w:hAnsi="宋体" w:cs="宋体"/>
                <w:szCs w:val="21"/>
              </w:rPr>
            </w:pPr>
            <w:r>
              <w:rPr>
                <w:rFonts w:hint="eastAsia" w:ascii="宋体" w:hAnsi="宋体" w:cs="宋体"/>
                <w:szCs w:val="21"/>
              </w:rPr>
              <w:t>对于需要持证上岗或特种作业的岗位使用不具有相应资格的人员上岗的</w:t>
            </w:r>
          </w:p>
        </w:tc>
        <w:tc>
          <w:tcPr>
            <w:tcW w:w="1140" w:type="dxa"/>
            <w:gridSpan w:val="2"/>
            <w:vAlign w:val="center"/>
          </w:tcPr>
          <w:p>
            <w:pPr>
              <w:spacing w:line="240" w:lineRule="auto"/>
              <w:jc w:val="left"/>
              <w:rPr>
                <w:rFonts w:ascii="宋体" w:hAnsi="宋体" w:cs="宋体"/>
                <w:szCs w:val="21"/>
              </w:rPr>
            </w:pPr>
            <w:r>
              <w:rPr>
                <w:rFonts w:hint="eastAsia" w:ascii="宋体" w:hAnsi="宋体" w:cs="宋体"/>
                <w:szCs w:val="21"/>
              </w:rPr>
              <w:t>扣1分/人</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2000元/人</w:t>
            </w:r>
          </w:p>
        </w:tc>
        <w:tc>
          <w:tcPr>
            <w:tcW w:w="1285" w:type="dxa"/>
            <w:gridSpan w:val="2"/>
            <w:vAlign w:val="center"/>
          </w:tcPr>
          <w:p>
            <w:pPr>
              <w:spacing w:line="240" w:lineRule="auto"/>
              <w:ind w:left="179"/>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52" w:type="dxa"/>
            <w:bottom w:w="0" w:type="dxa"/>
            <w:right w:w="19" w:type="dxa"/>
          </w:tblCellMar>
        </w:tblPrEx>
        <w:trPr>
          <w:gridBefore w:val="2"/>
          <w:wBefore w:w="30" w:type="dxa"/>
          <w:trHeight w:val="511" w:hRule="atLeast"/>
        </w:trPr>
        <w:tc>
          <w:tcPr>
            <w:tcW w:w="336" w:type="dxa"/>
            <w:vMerge w:val="continue"/>
          </w:tcPr>
          <w:p>
            <w:pPr>
              <w:spacing w:line="240" w:lineRule="auto"/>
              <w:jc w:val="left"/>
              <w:rPr>
                <w:rFonts w:ascii="宋体" w:hAnsi="宋体" w:cs="宋体"/>
                <w:szCs w:val="21"/>
              </w:rPr>
            </w:pPr>
          </w:p>
        </w:tc>
        <w:tc>
          <w:tcPr>
            <w:tcW w:w="551" w:type="dxa"/>
            <w:vMerge w:val="continue"/>
          </w:tcPr>
          <w:p>
            <w:pPr>
              <w:spacing w:line="240" w:lineRule="auto"/>
              <w:jc w:val="left"/>
              <w:rPr>
                <w:rFonts w:ascii="宋体" w:hAnsi="宋体" w:cs="宋体"/>
                <w:szCs w:val="21"/>
              </w:rPr>
            </w:pPr>
          </w:p>
        </w:tc>
        <w:tc>
          <w:tcPr>
            <w:tcW w:w="698" w:type="dxa"/>
            <w:vAlign w:val="center"/>
          </w:tcPr>
          <w:p>
            <w:pPr>
              <w:spacing w:line="240" w:lineRule="auto"/>
              <w:ind w:right="33"/>
              <w:jc w:val="left"/>
              <w:rPr>
                <w:rFonts w:ascii="宋体" w:hAnsi="宋体" w:cs="宋体"/>
                <w:szCs w:val="21"/>
              </w:rPr>
            </w:pPr>
            <w:r>
              <w:rPr>
                <w:rFonts w:hint="eastAsia" w:ascii="宋体" w:hAnsi="宋体" w:cs="宋体"/>
                <w:szCs w:val="21"/>
              </w:rPr>
              <w:t>1.3.5</w:t>
            </w:r>
          </w:p>
        </w:tc>
        <w:tc>
          <w:tcPr>
            <w:tcW w:w="3845" w:type="dxa"/>
          </w:tcPr>
          <w:p>
            <w:pPr>
              <w:spacing w:line="240" w:lineRule="auto"/>
              <w:ind w:left="55"/>
              <w:jc w:val="left"/>
              <w:rPr>
                <w:rFonts w:ascii="宋体" w:hAnsi="宋体" w:cs="宋体"/>
                <w:szCs w:val="21"/>
              </w:rPr>
            </w:pPr>
            <w:r>
              <w:rPr>
                <w:rFonts w:hint="eastAsia" w:ascii="宋体" w:hAnsi="宋体" w:cs="宋体"/>
                <w:szCs w:val="21"/>
              </w:rPr>
              <w:t>未按规定对施工作业人员进行教育、培训、考核的，或者培训、考核不合格擅自上岗作业的</w:t>
            </w:r>
          </w:p>
        </w:tc>
        <w:tc>
          <w:tcPr>
            <w:tcW w:w="1140" w:type="dxa"/>
            <w:gridSpan w:val="2"/>
            <w:vAlign w:val="center"/>
          </w:tcPr>
          <w:p>
            <w:pPr>
              <w:spacing w:line="240" w:lineRule="auto"/>
              <w:jc w:val="left"/>
              <w:rPr>
                <w:rFonts w:ascii="宋体" w:hAnsi="宋体" w:cs="宋体"/>
                <w:szCs w:val="21"/>
              </w:rPr>
            </w:pPr>
            <w:r>
              <w:rPr>
                <w:rFonts w:hint="eastAsia" w:ascii="宋体" w:hAnsi="宋体" w:cs="宋体"/>
                <w:szCs w:val="21"/>
              </w:rPr>
              <w:t>扣0.5分/人</w:t>
            </w:r>
          </w:p>
        </w:tc>
        <w:tc>
          <w:tcPr>
            <w:tcW w:w="1175" w:type="dxa"/>
            <w:gridSpan w:val="2"/>
            <w:vAlign w:val="center"/>
          </w:tcPr>
          <w:p>
            <w:pPr>
              <w:spacing w:line="240" w:lineRule="auto"/>
              <w:ind w:left="90"/>
              <w:jc w:val="left"/>
              <w:rPr>
                <w:rFonts w:ascii="宋体" w:hAnsi="宋体" w:cs="宋体"/>
                <w:szCs w:val="21"/>
              </w:rPr>
            </w:pPr>
            <w:r>
              <w:rPr>
                <w:rFonts w:hint="eastAsia" w:ascii="宋体" w:hAnsi="宋体" w:cs="宋体"/>
                <w:szCs w:val="21"/>
              </w:rPr>
              <w:t>1000元/人</w:t>
            </w:r>
          </w:p>
        </w:tc>
        <w:tc>
          <w:tcPr>
            <w:tcW w:w="1285" w:type="dxa"/>
            <w:gridSpan w:val="2"/>
            <w:vAlign w:val="center"/>
          </w:tcPr>
          <w:p>
            <w:pPr>
              <w:spacing w:line="240" w:lineRule="auto"/>
              <w:ind w:left="90"/>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1434" w:hRule="atLeast"/>
        </w:trPr>
        <w:tc>
          <w:tcPr>
            <w:tcW w:w="351" w:type="dxa"/>
            <w:gridSpan w:val="2"/>
            <w:vMerge w:val="restart"/>
          </w:tcPr>
          <w:p>
            <w:pPr>
              <w:spacing w:line="240" w:lineRule="auto"/>
              <w:jc w:val="left"/>
              <w:rPr>
                <w:rFonts w:ascii="宋体" w:hAnsi="宋体" w:cs="宋体"/>
                <w:szCs w:val="21"/>
              </w:rPr>
            </w:pPr>
            <w:r>
              <w:rPr>
                <w:rFonts w:hint="eastAsia" w:ascii="宋体" w:hAnsi="宋体" w:cs="宋体"/>
                <w:szCs w:val="21"/>
              </w:rPr>
              <w:t>二工程质量</w:t>
            </w:r>
          </w:p>
        </w:tc>
        <w:tc>
          <w:tcPr>
            <w:tcW w:w="551" w:type="dxa"/>
            <w:vAlign w:val="center"/>
          </w:tcPr>
          <w:p>
            <w:pPr>
              <w:spacing w:line="240" w:lineRule="auto"/>
              <w:jc w:val="left"/>
              <w:rPr>
                <w:rFonts w:ascii="宋体" w:hAnsi="宋体" w:cs="宋体"/>
                <w:szCs w:val="21"/>
              </w:rPr>
            </w:pPr>
            <w:r>
              <w:rPr>
                <w:rFonts w:hint="eastAsia" w:ascii="宋体" w:hAnsi="宋体" w:cs="宋体"/>
                <w:szCs w:val="21"/>
              </w:rPr>
              <w:t>施工检测</w:t>
            </w:r>
          </w:p>
        </w:tc>
        <w:tc>
          <w:tcPr>
            <w:tcW w:w="698" w:type="dxa"/>
            <w:vAlign w:val="center"/>
          </w:tcPr>
          <w:p>
            <w:pPr>
              <w:spacing w:line="240" w:lineRule="auto"/>
              <w:jc w:val="left"/>
              <w:rPr>
                <w:rFonts w:ascii="宋体" w:hAnsi="宋体" w:cs="宋体"/>
                <w:szCs w:val="21"/>
              </w:rPr>
            </w:pPr>
            <w:r>
              <w:rPr>
                <w:rFonts w:hint="eastAsia" w:ascii="宋体" w:hAnsi="宋体" w:cs="宋体"/>
                <w:szCs w:val="21"/>
              </w:rPr>
              <w:t>2.1.1</w:t>
            </w:r>
          </w:p>
        </w:tc>
        <w:tc>
          <w:tcPr>
            <w:tcW w:w="3845" w:type="dxa"/>
          </w:tcPr>
          <w:p>
            <w:pPr>
              <w:spacing w:line="240" w:lineRule="auto"/>
              <w:jc w:val="left"/>
              <w:rPr>
                <w:rFonts w:ascii="宋体" w:hAnsi="宋体" w:cs="宋体"/>
                <w:szCs w:val="21"/>
              </w:rPr>
            </w:pPr>
            <w:r>
              <w:rPr>
                <w:rFonts w:hint="eastAsia" w:ascii="宋体" w:hAnsi="宋体" w:cs="宋体"/>
                <w:szCs w:val="21"/>
              </w:rPr>
              <w:t>不按检测规程进行检测的，或在检测中发现不合格项隐瞒不报的，或伪造检测数据和检测结果，出具虚假证明的</w:t>
            </w:r>
          </w:p>
        </w:tc>
        <w:tc>
          <w:tcPr>
            <w:tcW w:w="1140" w:type="dxa"/>
            <w:gridSpan w:val="2"/>
            <w:vAlign w:val="center"/>
          </w:tcPr>
          <w:p>
            <w:pPr>
              <w:spacing w:line="240" w:lineRule="auto"/>
              <w:jc w:val="left"/>
              <w:rPr>
                <w:rFonts w:ascii="宋体" w:hAnsi="宋体" w:cs="宋体"/>
                <w:szCs w:val="21"/>
              </w:rPr>
            </w:pPr>
            <w:r>
              <w:rPr>
                <w:rFonts w:hint="eastAsia" w:ascii="宋体" w:hAnsi="宋体" w:cs="宋体"/>
                <w:szCs w:val="21"/>
              </w:rPr>
              <w:t>扣0.5分/次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5000元/次</w:t>
            </w:r>
          </w:p>
        </w:tc>
        <w:tc>
          <w:tcPr>
            <w:tcW w:w="1285" w:type="dxa"/>
            <w:gridSpan w:val="2"/>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552" w:hRule="atLeast"/>
        </w:trPr>
        <w:tc>
          <w:tcPr>
            <w:tcW w:w="351" w:type="dxa"/>
            <w:gridSpan w:val="2"/>
            <w:vMerge w:val="continue"/>
          </w:tcPr>
          <w:p>
            <w:pPr>
              <w:spacing w:line="240" w:lineRule="auto"/>
              <w:jc w:val="left"/>
              <w:rPr>
                <w:rFonts w:ascii="宋体" w:hAnsi="宋体" w:cs="宋体"/>
                <w:szCs w:val="21"/>
              </w:rPr>
            </w:pPr>
          </w:p>
        </w:tc>
        <w:tc>
          <w:tcPr>
            <w:tcW w:w="551" w:type="dxa"/>
            <w:vMerge w:val="restart"/>
            <w:vAlign w:val="center"/>
          </w:tcPr>
          <w:p>
            <w:pPr>
              <w:spacing w:line="240" w:lineRule="auto"/>
              <w:jc w:val="left"/>
              <w:rPr>
                <w:rFonts w:ascii="宋体" w:hAnsi="宋体" w:cs="宋体"/>
                <w:szCs w:val="21"/>
              </w:rPr>
            </w:pPr>
            <w:r>
              <w:rPr>
                <w:rFonts w:hint="eastAsia" w:ascii="宋体" w:hAnsi="宋体" w:cs="宋体"/>
                <w:szCs w:val="21"/>
              </w:rPr>
              <w:t>实验检验</w:t>
            </w:r>
          </w:p>
        </w:tc>
        <w:tc>
          <w:tcPr>
            <w:tcW w:w="698" w:type="dxa"/>
            <w:vAlign w:val="center"/>
          </w:tcPr>
          <w:p>
            <w:pPr>
              <w:spacing w:line="240" w:lineRule="auto"/>
              <w:jc w:val="left"/>
              <w:rPr>
                <w:rFonts w:ascii="宋体" w:hAnsi="宋体" w:cs="宋体"/>
                <w:szCs w:val="21"/>
              </w:rPr>
            </w:pPr>
            <w:r>
              <w:rPr>
                <w:rFonts w:hint="eastAsia" w:ascii="宋体" w:hAnsi="宋体" w:cs="宋体"/>
                <w:szCs w:val="21"/>
              </w:rPr>
              <w:t>2.2.1</w:t>
            </w:r>
          </w:p>
        </w:tc>
        <w:tc>
          <w:tcPr>
            <w:tcW w:w="3845" w:type="dxa"/>
          </w:tcPr>
          <w:p>
            <w:pPr>
              <w:spacing w:line="240" w:lineRule="auto"/>
              <w:jc w:val="left"/>
              <w:rPr>
                <w:rFonts w:ascii="宋体" w:hAnsi="宋体" w:cs="宋体"/>
                <w:szCs w:val="21"/>
              </w:rPr>
            </w:pPr>
            <w:r>
              <w:rPr>
                <w:rFonts w:hint="eastAsia" w:ascii="宋体" w:hAnsi="宋体" w:cs="宋体"/>
                <w:szCs w:val="21"/>
              </w:rPr>
              <w:t>用于工程的材料、构配件和设备没有按规定报送拟进场的工程材料、构配件和设备报审表的</w:t>
            </w:r>
          </w:p>
        </w:tc>
        <w:tc>
          <w:tcPr>
            <w:tcW w:w="1140" w:type="dxa"/>
            <w:gridSpan w:val="2"/>
            <w:vAlign w:val="center"/>
          </w:tcPr>
          <w:p>
            <w:pPr>
              <w:spacing w:line="240" w:lineRule="auto"/>
              <w:jc w:val="left"/>
              <w:rPr>
                <w:rFonts w:ascii="宋体" w:hAnsi="宋体" w:cs="宋体"/>
                <w:szCs w:val="21"/>
              </w:rPr>
            </w:pPr>
            <w:r>
              <w:rPr>
                <w:rFonts w:hint="eastAsia" w:ascii="宋体" w:hAnsi="宋体" w:cs="宋体"/>
                <w:szCs w:val="21"/>
              </w:rPr>
              <w:t>扣0.3分/项.次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3000元/项.次</w:t>
            </w:r>
          </w:p>
        </w:tc>
        <w:tc>
          <w:tcPr>
            <w:tcW w:w="1285" w:type="dxa"/>
            <w:gridSpan w:val="2"/>
            <w:vAlign w:val="center"/>
          </w:tcPr>
          <w:p>
            <w:pPr>
              <w:spacing w:line="240" w:lineRule="auto"/>
              <w:ind w:left="44"/>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552"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jc w:val="left"/>
              <w:rPr>
                <w:rFonts w:ascii="宋体" w:hAnsi="宋体" w:cs="宋体"/>
                <w:szCs w:val="21"/>
              </w:rPr>
            </w:pPr>
          </w:p>
        </w:tc>
        <w:tc>
          <w:tcPr>
            <w:tcW w:w="698" w:type="dxa"/>
            <w:vAlign w:val="center"/>
          </w:tcPr>
          <w:p>
            <w:pPr>
              <w:spacing w:line="240" w:lineRule="auto"/>
              <w:jc w:val="left"/>
              <w:rPr>
                <w:rFonts w:ascii="宋体" w:hAnsi="宋体" w:cs="宋体"/>
                <w:szCs w:val="21"/>
              </w:rPr>
            </w:pPr>
            <w:r>
              <w:rPr>
                <w:rFonts w:hint="eastAsia" w:ascii="宋体" w:hAnsi="宋体" w:cs="宋体"/>
                <w:szCs w:val="21"/>
              </w:rPr>
              <w:t>2.2.2</w:t>
            </w:r>
          </w:p>
        </w:tc>
        <w:tc>
          <w:tcPr>
            <w:tcW w:w="3845" w:type="dxa"/>
          </w:tcPr>
          <w:p>
            <w:pPr>
              <w:spacing w:line="240" w:lineRule="auto"/>
              <w:jc w:val="left"/>
              <w:rPr>
                <w:rFonts w:ascii="宋体" w:hAnsi="宋体" w:cs="宋体"/>
                <w:szCs w:val="21"/>
              </w:rPr>
            </w:pPr>
            <w:r>
              <w:rPr>
                <w:rFonts w:hint="eastAsia" w:ascii="宋体" w:hAnsi="宋体" w:cs="宋体"/>
                <w:szCs w:val="21"/>
              </w:rPr>
              <w:t>对涉及结构安全的试块、试件以及有关材料，未实行见证取样送检的</w:t>
            </w:r>
          </w:p>
        </w:tc>
        <w:tc>
          <w:tcPr>
            <w:tcW w:w="1140" w:type="dxa"/>
            <w:gridSpan w:val="2"/>
            <w:vAlign w:val="center"/>
          </w:tcPr>
          <w:p>
            <w:pPr>
              <w:spacing w:line="240" w:lineRule="auto"/>
              <w:jc w:val="left"/>
              <w:rPr>
                <w:rFonts w:ascii="宋体" w:hAnsi="宋体" w:cs="宋体"/>
                <w:szCs w:val="21"/>
              </w:rPr>
            </w:pPr>
            <w:r>
              <w:rPr>
                <w:rFonts w:hint="eastAsia" w:ascii="宋体" w:hAnsi="宋体" w:cs="宋体"/>
                <w:szCs w:val="21"/>
              </w:rPr>
              <w:t>扣0.3分/项.次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3000元/项.次</w:t>
            </w:r>
          </w:p>
        </w:tc>
        <w:tc>
          <w:tcPr>
            <w:tcW w:w="1285" w:type="dxa"/>
            <w:gridSpan w:val="2"/>
            <w:vAlign w:val="center"/>
          </w:tcPr>
          <w:p>
            <w:pPr>
              <w:spacing w:line="240" w:lineRule="auto"/>
              <w:ind w:left="44"/>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552"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jc w:val="left"/>
              <w:rPr>
                <w:rFonts w:ascii="宋体" w:hAnsi="宋体" w:cs="宋体"/>
                <w:szCs w:val="21"/>
              </w:rPr>
            </w:pPr>
          </w:p>
        </w:tc>
        <w:tc>
          <w:tcPr>
            <w:tcW w:w="698" w:type="dxa"/>
            <w:vAlign w:val="center"/>
          </w:tcPr>
          <w:p>
            <w:pPr>
              <w:spacing w:line="240" w:lineRule="auto"/>
              <w:jc w:val="left"/>
              <w:rPr>
                <w:rFonts w:ascii="宋体" w:hAnsi="宋体" w:cs="宋体"/>
                <w:szCs w:val="21"/>
              </w:rPr>
            </w:pPr>
            <w:r>
              <w:rPr>
                <w:rFonts w:hint="eastAsia" w:ascii="宋体" w:hAnsi="宋体" w:cs="宋体"/>
                <w:szCs w:val="21"/>
              </w:rPr>
              <w:t>2.2.3</w:t>
            </w:r>
          </w:p>
        </w:tc>
        <w:tc>
          <w:tcPr>
            <w:tcW w:w="3845" w:type="dxa"/>
          </w:tcPr>
          <w:p>
            <w:pPr>
              <w:spacing w:line="240" w:lineRule="auto"/>
              <w:jc w:val="left"/>
              <w:rPr>
                <w:rFonts w:ascii="宋体" w:hAnsi="宋体" w:cs="宋体"/>
                <w:szCs w:val="21"/>
              </w:rPr>
            </w:pPr>
            <w:r>
              <w:rPr>
                <w:rFonts w:hint="eastAsia" w:ascii="宋体" w:hAnsi="宋体" w:cs="宋体"/>
                <w:szCs w:val="21"/>
              </w:rPr>
              <w:t>送检试样弄虚作假的，或要求检测机构出具虚假检验报告的,或篡改或伪造检验报告的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扣2分/项.次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2万/项.次</w:t>
            </w:r>
          </w:p>
        </w:tc>
        <w:tc>
          <w:tcPr>
            <w:tcW w:w="1285" w:type="dxa"/>
            <w:gridSpan w:val="2"/>
            <w:vAlign w:val="center"/>
          </w:tcPr>
          <w:p>
            <w:pPr>
              <w:spacing w:line="240" w:lineRule="auto"/>
              <w:ind w:left="133"/>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730"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jc w:val="left"/>
              <w:rPr>
                <w:rFonts w:ascii="宋体" w:hAnsi="宋体" w:cs="宋体"/>
                <w:szCs w:val="21"/>
              </w:rPr>
            </w:pPr>
          </w:p>
        </w:tc>
        <w:tc>
          <w:tcPr>
            <w:tcW w:w="698" w:type="dxa"/>
            <w:vAlign w:val="center"/>
          </w:tcPr>
          <w:p>
            <w:pPr>
              <w:spacing w:line="240" w:lineRule="auto"/>
              <w:jc w:val="left"/>
              <w:rPr>
                <w:rFonts w:ascii="宋体" w:hAnsi="宋体" w:cs="宋体"/>
                <w:szCs w:val="21"/>
              </w:rPr>
            </w:pPr>
            <w:r>
              <w:rPr>
                <w:rFonts w:hint="eastAsia" w:ascii="宋体" w:hAnsi="宋体" w:cs="宋体"/>
                <w:szCs w:val="21"/>
              </w:rPr>
              <w:t>2.2.4</w:t>
            </w:r>
          </w:p>
        </w:tc>
        <w:tc>
          <w:tcPr>
            <w:tcW w:w="3845" w:type="dxa"/>
          </w:tcPr>
          <w:p>
            <w:pPr>
              <w:spacing w:line="240" w:lineRule="auto"/>
              <w:jc w:val="left"/>
              <w:rPr>
                <w:rFonts w:ascii="宋体" w:hAnsi="宋体" w:cs="宋体"/>
                <w:szCs w:val="21"/>
              </w:rPr>
            </w:pPr>
            <w:r>
              <w:rPr>
                <w:rFonts w:hint="eastAsia" w:ascii="宋体" w:hAnsi="宋体" w:cs="宋体"/>
                <w:szCs w:val="21"/>
              </w:rPr>
              <w:t>经检验不符合技术标准或者设计要求的建筑材料、建筑构配件和设备，未就地封存、未做好记录、未及时通知有关单位处理的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扣0.3分/项.次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3000元/项.次</w:t>
            </w:r>
          </w:p>
        </w:tc>
        <w:tc>
          <w:tcPr>
            <w:tcW w:w="1285" w:type="dxa"/>
            <w:gridSpan w:val="2"/>
            <w:vAlign w:val="center"/>
          </w:tcPr>
          <w:p>
            <w:pPr>
              <w:spacing w:line="240" w:lineRule="auto"/>
              <w:ind w:left="44"/>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518"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jc w:val="left"/>
              <w:rPr>
                <w:rFonts w:ascii="宋体" w:hAnsi="宋体" w:cs="宋体"/>
                <w:szCs w:val="21"/>
              </w:rPr>
            </w:pPr>
          </w:p>
        </w:tc>
        <w:tc>
          <w:tcPr>
            <w:tcW w:w="698" w:type="dxa"/>
            <w:vAlign w:val="center"/>
          </w:tcPr>
          <w:p>
            <w:pPr>
              <w:spacing w:line="240" w:lineRule="auto"/>
              <w:jc w:val="left"/>
              <w:rPr>
                <w:rFonts w:ascii="宋体" w:hAnsi="宋体" w:cs="宋体"/>
                <w:szCs w:val="21"/>
              </w:rPr>
            </w:pPr>
            <w:r>
              <w:rPr>
                <w:rFonts w:hint="eastAsia" w:ascii="宋体" w:hAnsi="宋体" w:cs="宋体"/>
                <w:szCs w:val="21"/>
              </w:rPr>
              <w:t>2.2.5</w:t>
            </w:r>
          </w:p>
        </w:tc>
        <w:tc>
          <w:tcPr>
            <w:tcW w:w="3845" w:type="dxa"/>
          </w:tcPr>
          <w:p>
            <w:pPr>
              <w:spacing w:line="240" w:lineRule="auto"/>
              <w:jc w:val="left"/>
              <w:rPr>
                <w:rFonts w:ascii="宋体" w:hAnsi="宋体" w:cs="宋体"/>
                <w:szCs w:val="21"/>
              </w:rPr>
            </w:pPr>
            <w:r>
              <w:rPr>
                <w:rFonts w:hint="eastAsia" w:ascii="宋体" w:hAnsi="宋体" w:cs="宋体"/>
                <w:szCs w:val="21"/>
              </w:rPr>
              <w:t>工程上使用了未经检验的主要材料、建筑构配件和设备的，或检测不合格建筑材料、构配件和设备的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扣2分/次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2万/次</w:t>
            </w:r>
          </w:p>
        </w:tc>
        <w:tc>
          <w:tcPr>
            <w:tcW w:w="1285" w:type="dxa"/>
            <w:gridSpan w:val="2"/>
            <w:vAlign w:val="center"/>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332" w:hRule="atLeast"/>
        </w:trPr>
        <w:tc>
          <w:tcPr>
            <w:tcW w:w="351" w:type="dxa"/>
            <w:gridSpan w:val="2"/>
            <w:vMerge w:val="continue"/>
          </w:tcPr>
          <w:p>
            <w:pPr>
              <w:spacing w:line="240" w:lineRule="auto"/>
              <w:jc w:val="left"/>
              <w:rPr>
                <w:rFonts w:ascii="宋体" w:hAnsi="宋体" w:cs="宋体"/>
                <w:szCs w:val="21"/>
              </w:rPr>
            </w:pPr>
          </w:p>
        </w:tc>
        <w:tc>
          <w:tcPr>
            <w:tcW w:w="551" w:type="dxa"/>
            <w:vMerge w:val="continue"/>
          </w:tcPr>
          <w:p>
            <w:pPr>
              <w:spacing w:line="240" w:lineRule="auto"/>
              <w:jc w:val="left"/>
              <w:rPr>
                <w:rFonts w:ascii="宋体" w:hAnsi="宋体" w:cs="宋体"/>
                <w:szCs w:val="21"/>
              </w:rPr>
            </w:pPr>
          </w:p>
        </w:tc>
        <w:tc>
          <w:tcPr>
            <w:tcW w:w="698" w:type="dxa"/>
          </w:tcPr>
          <w:p>
            <w:pPr>
              <w:spacing w:line="240" w:lineRule="auto"/>
              <w:jc w:val="left"/>
              <w:rPr>
                <w:rFonts w:ascii="宋体" w:hAnsi="宋体" w:cs="宋体"/>
                <w:szCs w:val="21"/>
              </w:rPr>
            </w:pPr>
            <w:r>
              <w:rPr>
                <w:rFonts w:hint="eastAsia" w:ascii="宋体" w:hAnsi="宋体" w:cs="宋体"/>
                <w:szCs w:val="21"/>
              </w:rPr>
              <w:t>2.2.6</w:t>
            </w:r>
          </w:p>
        </w:tc>
        <w:tc>
          <w:tcPr>
            <w:tcW w:w="3845" w:type="dxa"/>
          </w:tcPr>
          <w:p>
            <w:pPr>
              <w:spacing w:line="240" w:lineRule="auto"/>
              <w:jc w:val="left"/>
              <w:rPr>
                <w:rFonts w:ascii="宋体" w:hAnsi="宋体" w:cs="宋体"/>
                <w:szCs w:val="21"/>
              </w:rPr>
            </w:pPr>
            <w:r>
              <w:rPr>
                <w:rFonts w:hint="eastAsia" w:ascii="宋体" w:hAnsi="宋体" w:cs="宋体"/>
                <w:szCs w:val="21"/>
              </w:rPr>
              <w:t>使用了检测不合格的建筑材料、构配件和设备的</w:t>
            </w:r>
          </w:p>
        </w:tc>
        <w:tc>
          <w:tcPr>
            <w:tcW w:w="1130" w:type="dxa"/>
          </w:tcPr>
          <w:p>
            <w:pPr>
              <w:spacing w:line="240" w:lineRule="auto"/>
              <w:jc w:val="left"/>
              <w:rPr>
                <w:rFonts w:ascii="宋体" w:hAnsi="宋体" w:cs="宋体"/>
                <w:szCs w:val="21"/>
              </w:rPr>
            </w:pPr>
            <w:r>
              <w:rPr>
                <w:rFonts w:hint="eastAsia" w:ascii="宋体" w:hAnsi="宋体" w:cs="宋体"/>
                <w:szCs w:val="21"/>
              </w:rPr>
              <w:t>扣3分/次</w:t>
            </w:r>
          </w:p>
        </w:tc>
        <w:tc>
          <w:tcPr>
            <w:tcW w:w="1185" w:type="dxa"/>
            <w:gridSpan w:val="3"/>
          </w:tcPr>
          <w:p>
            <w:pPr>
              <w:spacing w:line="240" w:lineRule="auto"/>
              <w:jc w:val="left"/>
              <w:rPr>
                <w:rFonts w:ascii="宋体" w:hAnsi="宋体" w:cs="宋体"/>
                <w:szCs w:val="21"/>
              </w:rPr>
            </w:pPr>
            <w:r>
              <w:rPr>
                <w:rFonts w:hint="eastAsia" w:ascii="宋体" w:hAnsi="宋体" w:cs="宋体"/>
                <w:szCs w:val="21"/>
              </w:rPr>
              <w:t>3万/次</w:t>
            </w:r>
          </w:p>
        </w:tc>
        <w:tc>
          <w:tcPr>
            <w:tcW w:w="1285" w:type="dxa"/>
            <w:gridSpan w:val="2"/>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552"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jc w:val="left"/>
              <w:rPr>
                <w:rFonts w:ascii="宋体" w:hAnsi="宋体" w:cs="宋体"/>
                <w:szCs w:val="21"/>
              </w:rPr>
            </w:pPr>
          </w:p>
        </w:tc>
        <w:tc>
          <w:tcPr>
            <w:tcW w:w="698" w:type="dxa"/>
            <w:vAlign w:val="center"/>
          </w:tcPr>
          <w:p>
            <w:pPr>
              <w:spacing w:line="240" w:lineRule="auto"/>
              <w:jc w:val="left"/>
              <w:rPr>
                <w:rFonts w:ascii="宋体" w:hAnsi="宋体" w:cs="宋体"/>
                <w:szCs w:val="21"/>
              </w:rPr>
            </w:pPr>
            <w:r>
              <w:rPr>
                <w:rFonts w:hint="eastAsia" w:ascii="宋体" w:hAnsi="宋体" w:cs="宋体"/>
                <w:szCs w:val="21"/>
              </w:rPr>
              <w:t>2.2.7</w:t>
            </w:r>
          </w:p>
        </w:tc>
        <w:tc>
          <w:tcPr>
            <w:tcW w:w="3845" w:type="dxa"/>
          </w:tcPr>
          <w:p>
            <w:pPr>
              <w:spacing w:line="240" w:lineRule="auto"/>
              <w:jc w:val="left"/>
              <w:rPr>
                <w:rFonts w:ascii="宋体" w:hAnsi="宋体" w:cs="宋体"/>
                <w:szCs w:val="21"/>
              </w:rPr>
            </w:pPr>
            <w:r>
              <w:rPr>
                <w:rFonts w:hint="eastAsia" w:ascii="宋体" w:hAnsi="宋体" w:cs="宋体"/>
                <w:szCs w:val="21"/>
              </w:rPr>
              <w:t>推荐使用了可能侵犯第三人知识产权、技术秘密的产品或者技术引起法律责任的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扣0.3分/项.次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3000元/项.次</w:t>
            </w:r>
          </w:p>
        </w:tc>
        <w:tc>
          <w:tcPr>
            <w:tcW w:w="1285" w:type="dxa"/>
            <w:gridSpan w:val="2"/>
            <w:vAlign w:val="center"/>
          </w:tcPr>
          <w:p>
            <w:pPr>
              <w:spacing w:line="240" w:lineRule="auto"/>
              <w:ind w:left="44"/>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518" w:hRule="atLeast"/>
        </w:trPr>
        <w:tc>
          <w:tcPr>
            <w:tcW w:w="351" w:type="dxa"/>
            <w:gridSpan w:val="2"/>
            <w:vMerge w:val="continue"/>
          </w:tcPr>
          <w:p>
            <w:pPr>
              <w:spacing w:line="240" w:lineRule="auto"/>
              <w:jc w:val="left"/>
              <w:rPr>
                <w:rFonts w:ascii="宋体" w:hAnsi="宋体" w:cs="宋体"/>
                <w:szCs w:val="21"/>
              </w:rPr>
            </w:pPr>
          </w:p>
        </w:tc>
        <w:tc>
          <w:tcPr>
            <w:tcW w:w="551" w:type="dxa"/>
            <w:vMerge w:val="restart"/>
            <w:vAlign w:val="center"/>
          </w:tcPr>
          <w:p>
            <w:pPr>
              <w:spacing w:line="240" w:lineRule="auto"/>
              <w:jc w:val="left"/>
              <w:rPr>
                <w:rFonts w:ascii="宋体" w:hAnsi="宋体" w:cs="宋体"/>
                <w:szCs w:val="21"/>
              </w:rPr>
            </w:pPr>
            <w:r>
              <w:rPr>
                <w:rFonts w:hint="eastAsia" w:ascii="宋体" w:hAnsi="宋体" w:cs="宋体"/>
                <w:szCs w:val="21"/>
              </w:rPr>
              <w:t>检查检测验收</w:t>
            </w:r>
          </w:p>
        </w:tc>
        <w:tc>
          <w:tcPr>
            <w:tcW w:w="698" w:type="dxa"/>
            <w:vAlign w:val="center"/>
          </w:tcPr>
          <w:p>
            <w:pPr>
              <w:spacing w:line="240" w:lineRule="auto"/>
              <w:jc w:val="left"/>
              <w:rPr>
                <w:rFonts w:ascii="宋体" w:hAnsi="宋体" w:cs="宋体"/>
                <w:szCs w:val="21"/>
              </w:rPr>
            </w:pPr>
            <w:r>
              <w:rPr>
                <w:rFonts w:hint="eastAsia" w:ascii="宋体" w:hAnsi="宋体" w:cs="宋体"/>
                <w:szCs w:val="21"/>
              </w:rPr>
              <w:t>2.3.1</w:t>
            </w:r>
          </w:p>
        </w:tc>
        <w:tc>
          <w:tcPr>
            <w:tcW w:w="3845" w:type="dxa"/>
          </w:tcPr>
          <w:p>
            <w:pPr>
              <w:spacing w:line="240" w:lineRule="auto"/>
              <w:jc w:val="left"/>
              <w:rPr>
                <w:rFonts w:ascii="宋体" w:hAnsi="宋体" w:cs="宋体"/>
                <w:szCs w:val="21"/>
              </w:rPr>
            </w:pPr>
            <w:r>
              <w:rPr>
                <w:rFonts w:hint="eastAsia" w:ascii="宋体" w:hAnsi="宋体" w:cs="宋体"/>
                <w:szCs w:val="21"/>
              </w:rPr>
              <w:t>未按规定组织分项、分部工程和隐蔽工程验收的，或对应当检查的项目不检查或不按规定检查的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扣2分/次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2万/次</w:t>
            </w:r>
          </w:p>
        </w:tc>
        <w:tc>
          <w:tcPr>
            <w:tcW w:w="1285" w:type="dxa"/>
            <w:gridSpan w:val="2"/>
            <w:vAlign w:val="center"/>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552"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jc w:val="left"/>
              <w:rPr>
                <w:rFonts w:ascii="宋体" w:hAnsi="宋体" w:cs="宋体"/>
                <w:szCs w:val="21"/>
              </w:rPr>
            </w:pPr>
          </w:p>
        </w:tc>
        <w:tc>
          <w:tcPr>
            <w:tcW w:w="698" w:type="dxa"/>
            <w:vAlign w:val="center"/>
          </w:tcPr>
          <w:p>
            <w:pPr>
              <w:spacing w:line="240" w:lineRule="auto"/>
              <w:jc w:val="left"/>
              <w:rPr>
                <w:rFonts w:ascii="宋体" w:hAnsi="宋体" w:cs="宋体"/>
                <w:szCs w:val="21"/>
              </w:rPr>
            </w:pPr>
            <w:r>
              <w:rPr>
                <w:rFonts w:hint="eastAsia" w:ascii="宋体" w:hAnsi="宋体" w:cs="宋体"/>
                <w:szCs w:val="21"/>
              </w:rPr>
              <w:t>2.3.2</w:t>
            </w:r>
          </w:p>
        </w:tc>
        <w:tc>
          <w:tcPr>
            <w:tcW w:w="3845" w:type="dxa"/>
          </w:tcPr>
          <w:p>
            <w:pPr>
              <w:spacing w:line="240" w:lineRule="auto"/>
              <w:jc w:val="left"/>
              <w:rPr>
                <w:rFonts w:ascii="宋体" w:hAnsi="宋体" w:cs="宋体"/>
                <w:szCs w:val="21"/>
              </w:rPr>
            </w:pPr>
            <w:r>
              <w:rPr>
                <w:rFonts w:hint="eastAsia" w:ascii="宋体" w:hAnsi="宋体" w:cs="宋体"/>
                <w:szCs w:val="21"/>
              </w:rPr>
              <w:t>对不合格的隐瞒不报的，或按照合格工程验收的，或伪造数据出具虚假验收证明的。或未经整改转入下道工序的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扣2分/次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2万/次</w:t>
            </w:r>
          </w:p>
        </w:tc>
        <w:tc>
          <w:tcPr>
            <w:tcW w:w="1285" w:type="dxa"/>
            <w:gridSpan w:val="2"/>
            <w:vAlign w:val="center"/>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349" w:hRule="atLeast"/>
        </w:trPr>
        <w:tc>
          <w:tcPr>
            <w:tcW w:w="351" w:type="dxa"/>
            <w:gridSpan w:val="2"/>
            <w:vMerge w:val="continue"/>
          </w:tcPr>
          <w:p>
            <w:pPr>
              <w:spacing w:line="240" w:lineRule="auto"/>
              <w:jc w:val="left"/>
              <w:rPr>
                <w:rFonts w:ascii="宋体" w:hAnsi="宋体" w:cs="宋体"/>
                <w:szCs w:val="21"/>
              </w:rPr>
            </w:pPr>
          </w:p>
        </w:tc>
        <w:tc>
          <w:tcPr>
            <w:tcW w:w="551" w:type="dxa"/>
            <w:vMerge w:val="continue"/>
          </w:tcPr>
          <w:p>
            <w:pPr>
              <w:spacing w:line="240" w:lineRule="auto"/>
              <w:jc w:val="left"/>
              <w:rPr>
                <w:rFonts w:ascii="宋体" w:hAnsi="宋体" w:cs="宋体"/>
                <w:szCs w:val="21"/>
              </w:rPr>
            </w:pPr>
          </w:p>
        </w:tc>
        <w:tc>
          <w:tcPr>
            <w:tcW w:w="698" w:type="dxa"/>
          </w:tcPr>
          <w:p>
            <w:pPr>
              <w:spacing w:line="240" w:lineRule="auto"/>
              <w:jc w:val="left"/>
              <w:rPr>
                <w:rFonts w:ascii="宋体" w:hAnsi="宋体" w:cs="宋体"/>
                <w:szCs w:val="21"/>
              </w:rPr>
            </w:pPr>
            <w:r>
              <w:rPr>
                <w:rFonts w:hint="eastAsia" w:ascii="宋体" w:hAnsi="宋体" w:cs="宋体"/>
                <w:szCs w:val="21"/>
              </w:rPr>
              <w:t>2.3.3</w:t>
            </w:r>
          </w:p>
        </w:tc>
        <w:tc>
          <w:tcPr>
            <w:tcW w:w="3845" w:type="dxa"/>
          </w:tcPr>
          <w:p>
            <w:pPr>
              <w:spacing w:line="240" w:lineRule="auto"/>
              <w:jc w:val="left"/>
              <w:rPr>
                <w:rFonts w:ascii="宋体" w:hAnsi="宋体" w:cs="宋体"/>
                <w:szCs w:val="21"/>
              </w:rPr>
            </w:pPr>
            <w:r>
              <w:rPr>
                <w:rFonts w:hint="eastAsia" w:ascii="宋体" w:hAnsi="宋体" w:cs="宋体"/>
                <w:szCs w:val="21"/>
              </w:rPr>
              <w:t>各分项工程验收质量达不到设计及规范要求的</w:t>
            </w:r>
          </w:p>
        </w:tc>
        <w:tc>
          <w:tcPr>
            <w:tcW w:w="1130" w:type="dxa"/>
          </w:tcPr>
          <w:p>
            <w:pPr>
              <w:spacing w:line="240" w:lineRule="auto"/>
              <w:jc w:val="left"/>
              <w:rPr>
                <w:rFonts w:ascii="宋体" w:hAnsi="宋体" w:cs="宋体"/>
                <w:szCs w:val="21"/>
              </w:rPr>
            </w:pPr>
            <w:r>
              <w:rPr>
                <w:rFonts w:hint="eastAsia" w:ascii="宋体" w:hAnsi="宋体" w:cs="宋体"/>
                <w:szCs w:val="21"/>
              </w:rPr>
              <w:t>扣2分/次</w:t>
            </w:r>
          </w:p>
        </w:tc>
        <w:tc>
          <w:tcPr>
            <w:tcW w:w="1185" w:type="dxa"/>
            <w:gridSpan w:val="3"/>
          </w:tcPr>
          <w:p>
            <w:pPr>
              <w:spacing w:line="240" w:lineRule="auto"/>
              <w:jc w:val="left"/>
              <w:rPr>
                <w:rFonts w:ascii="宋体" w:hAnsi="宋体" w:cs="宋体"/>
                <w:szCs w:val="21"/>
              </w:rPr>
            </w:pPr>
            <w:r>
              <w:rPr>
                <w:rFonts w:hint="eastAsia" w:ascii="宋体" w:hAnsi="宋体" w:cs="宋体"/>
                <w:szCs w:val="21"/>
              </w:rPr>
              <w:t>2万/次</w:t>
            </w:r>
          </w:p>
        </w:tc>
        <w:tc>
          <w:tcPr>
            <w:tcW w:w="1285" w:type="dxa"/>
            <w:gridSpan w:val="2"/>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783" w:hRule="atLeast"/>
        </w:trPr>
        <w:tc>
          <w:tcPr>
            <w:tcW w:w="351" w:type="dxa"/>
            <w:gridSpan w:val="2"/>
            <w:vMerge w:val="continue"/>
          </w:tcPr>
          <w:p>
            <w:pPr>
              <w:spacing w:line="240" w:lineRule="auto"/>
              <w:jc w:val="left"/>
              <w:rPr>
                <w:rFonts w:ascii="宋体" w:hAnsi="宋体" w:cs="宋体"/>
                <w:szCs w:val="21"/>
              </w:rPr>
            </w:pPr>
          </w:p>
        </w:tc>
        <w:tc>
          <w:tcPr>
            <w:tcW w:w="551" w:type="dxa"/>
            <w:vMerge w:val="continue"/>
          </w:tcPr>
          <w:p>
            <w:pPr>
              <w:spacing w:line="240" w:lineRule="auto"/>
              <w:jc w:val="left"/>
              <w:rPr>
                <w:rFonts w:ascii="宋体" w:hAnsi="宋体" w:cs="宋体"/>
                <w:szCs w:val="21"/>
              </w:rPr>
            </w:pPr>
          </w:p>
        </w:tc>
        <w:tc>
          <w:tcPr>
            <w:tcW w:w="698" w:type="dxa"/>
            <w:vAlign w:val="center"/>
          </w:tcPr>
          <w:p>
            <w:pPr>
              <w:spacing w:line="240" w:lineRule="auto"/>
              <w:jc w:val="left"/>
              <w:rPr>
                <w:rFonts w:ascii="宋体" w:hAnsi="宋体" w:cs="宋体"/>
                <w:szCs w:val="21"/>
              </w:rPr>
            </w:pPr>
            <w:r>
              <w:rPr>
                <w:rFonts w:hint="eastAsia" w:ascii="宋体" w:hAnsi="宋体" w:cs="宋体"/>
                <w:szCs w:val="21"/>
              </w:rPr>
              <w:t>2.3.4</w:t>
            </w:r>
          </w:p>
        </w:tc>
        <w:tc>
          <w:tcPr>
            <w:tcW w:w="3845" w:type="dxa"/>
            <w:vAlign w:val="center"/>
          </w:tcPr>
          <w:p>
            <w:pPr>
              <w:spacing w:line="240" w:lineRule="auto"/>
              <w:jc w:val="left"/>
              <w:rPr>
                <w:rFonts w:ascii="宋体" w:hAnsi="宋体" w:cs="宋体"/>
                <w:szCs w:val="21"/>
              </w:rPr>
            </w:pPr>
            <w:r>
              <w:rPr>
                <w:rFonts w:hint="eastAsia" w:ascii="宋体" w:hAnsi="宋体" w:cs="宋体"/>
                <w:szCs w:val="21"/>
              </w:rPr>
              <w:t>各分部工程验收质量达不到设计及规范要求的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扣2分/次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2万/次</w:t>
            </w:r>
          </w:p>
        </w:tc>
        <w:tc>
          <w:tcPr>
            <w:tcW w:w="1285" w:type="dxa"/>
            <w:gridSpan w:val="2"/>
            <w:vAlign w:val="center"/>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518"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jc w:val="left"/>
              <w:rPr>
                <w:rFonts w:ascii="宋体" w:hAnsi="宋体" w:cs="宋体"/>
                <w:szCs w:val="21"/>
              </w:rPr>
            </w:pPr>
          </w:p>
        </w:tc>
        <w:tc>
          <w:tcPr>
            <w:tcW w:w="698" w:type="dxa"/>
            <w:vAlign w:val="center"/>
          </w:tcPr>
          <w:p>
            <w:pPr>
              <w:spacing w:line="240" w:lineRule="auto"/>
              <w:jc w:val="left"/>
              <w:rPr>
                <w:rFonts w:ascii="宋体" w:hAnsi="宋体" w:cs="宋体"/>
                <w:szCs w:val="21"/>
              </w:rPr>
            </w:pPr>
            <w:r>
              <w:rPr>
                <w:rFonts w:hint="eastAsia" w:ascii="宋体" w:hAnsi="宋体" w:cs="宋体"/>
                <w:szCs w:val="21"/>
              </w:rPr>
              <w:t>2.3.5</w:t>
            </w:r>
          </w:p>
        </w:tc>
        <w:tc>
          <w:tcPr>
            <w:tcW w:w="3845" w:type="dxa"/>
          </w:tcPr>
          <w:p>
            <w:pPr>
              <w:spacing w:line="240" w:lineRule="auto"/>
              <w:jc w:val="left"/>
              <w:rPr>
                <w:rFonts w:ascii="宋体" w:hAnsi="宋体" w:cs="宋体"/>
                <w:szCs w:val="21"/>
              </w:rPr>
            </w:pPr>
            <w:r>
              <w:rPr>
                <w:rFonts w:hint="eastAsia" w:ascii="宋体" w:hAnsi="宋体" w:cs="宋体"/>
                <w:szCs w:val="21"/>
              </w:rPr>
              <w:t>发生重大工程质量事故后隐瞒不报、谎报、拖延上报或破坏事故现场的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扣2分/次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2万/次</w:t>
            </w:r>
          </w:p>
        </w:tc>
        <w:tc>
          <w:tcPr>
            <w:tcW w:w="1285" w:type="dxa"/>
            <w:gridSpan w:val="2"/>
            <w:vAlign w:val="center"/>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518"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jc w:val="left"/>
              <w:rPr>
                <w:rFonts w:ascii="宋体" w:hAnsi="宋体" w:cs="宋体"/>
                <w:szCs w:val="21"/>
              </w:rPr>
            </w:pPr>
          </w:p>
        </w:tc>
        <w:tc>
          <w:tcPr>
            <w:tcW w:w="698" w:type="dxa"/>
            <w:vAlign w:val="center"/>
          </w:tcPr>
          <w:p>
            <w:pPr>
              <w:spacing w:line="240" w:lineRule="auto"/>
              <w:jc w:val="left"/>
              <w:rPr>
                <w:rFonts w:ascii="宋体" w:hAnsi="宋体" w:cs="宋体"/>
                <w:szCs w:val="21"/>
              </w:rPr>
            </w:pPr>
            <w:r>
              <w:rPr>
                <w:rFonts w:hint="eastAsia" w:ascii="宋体" w:hAnsi="宋体" w:cs="宋体"/>
                <w:szCs w:val="21"/>
              </w:rPr>
              <w:t>2.3.6</w:t>
            </w:r>
          </w:p>
        </w:tc>
        <w:tc>
          <w:tcPr>
            <w:tcW w:w="3845" w:type="dxa"/>
          </w:tcPr>
          <w:p>
            <w:pPr>
              <w:spacing w:line="240" w:lineRule="auto"/>
              <w:jc w:val="left"/>
              <w:rPr>
                <w:rFonts w:ascii="宋体" w:hAnsi="宋体" w:cs="宋体"/>
                <w:szCs w:val="21"/>
              </w:rPr>
            </w:pPr>
            <w:r>
              <w:rPr>
                <w:rFonts w:hint="eastAsia" w:ascii="宋体" w:hAnsi="宋体" w:cs="宋体"/>
                <w:szCs w:val="21"/>
              </w:rPr>
              <w:t>由于质量问题或质量事故被监理、发包人、主管部门责令整改拒不整改的。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扣2分/次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2万/次</w:t>
            </w:r>
          </w:p>
        </w:tc>
        <w:tc>
          <w:tcPr>
            <w:tcW w:w="1285" w:type="dxa"/>
            <w:gridSpan w:val="2"/>
            <w:vAlign w:val="center"/>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518"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jc w:val="left"/>
              <w:rPr>
                <w:rFonts w:ascii="宋体" w:hAnsi="宋体" w:cs="宋体"/>
                <w:szCs w:val="21"/>
              </w:rPr>
            </w:pPr>
          </w:p>
        </w:tc>
        <w:tc>
          <w:tcPr>
            <w:tcW w:w="698" w:type="dxa"/>
            <w:vAlign w:val="center"/>
          </w:tcPr>
          <w:p>
            <w:pPr>
              <w:spacing w:line="240" w:lineRule="auto"/>
              <w:jc w:val="left"/>
              <w:rPr>
                <w:rFonts w:ascii="宋体" w:hAnsi="宋体" w:cs="宋体"/>
                <w:szCs w:val="21"/>
              </w:rPr>
            </w:pPr>
            <w:r>
              <w:rPr>
                <w:rFonts w:hint="eastAsia" w:ascii="宋体" w:hAnsi="宋体" w:cs="宋体"/>
                <w:szCs w:val="21"/>
              </w:rPr>
              <w:t>2.3.7</w:t>
            </w:r>
          </w:p>
        </w:tc>
        <w:tc>
          <w:tcPr>
            <w:tcW w:w="3845" w:type="dxa"/>
          </w:tcPr>
          <w:p>
            <w:pPr>
              <w:spacing w:line="240" w:lineRule="auto"/>
              <w:jc w:val="left"/>
              <w:rPr>
                <w:rFonts w:ascii="宋体" w:hAnsi="宋体" w:cs="宋体"/>
                <w:szCs w:val="21"/>
              </w:rPr>
            </w:pPr>
            <w:r>
              <w:rPr>
                <w:rFonts w:hint="eastAsia" w:ascii="宋体" w:hAnsi="宋体" w:cs="宋体"/>
                <w:szCs w:val="21"/>
              </w:rPr>
              <w:t>由于重大质量问题或质量事故被责令停工的，或被责令停工后仍继续施工的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扣2分/次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2万/次</w:t>
            </w:r>
          </w:p>
        </w:tc>
        <w:tc>
          <w:tcPr>
            <w:tcW w:w="1285" w:type="dxa"/>
            <w:gridSpan w:val="2"/>
            <w:vAlign w:val="center"/>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332" w:hRule="atLeast"/>
        </w:trPr>
        <w:tc>
          <w:tcPr>
            <w:tcW w:w="351" w:type="dxa"/>
            <w:gridSpan w:val="2"/>
            <w:vMerge w:val="continue"/>
          </w:tcPr>
          <w:p>
            <w:pPr>
              <w:spacing w:line="240" w:lineRule="auto"/>
              <w:jc w:val="left"/>
              <w:rPr>
                <w:rFonts w:ascii="宋体" w:hAnsi="宋体" w:cs="宋体"/>
                <w:szCs w:val="21"/>
              </w:rPr>
            </w:pPr>
          </w:p>
        </w:tc>
        <w:tc>
          <w:tcPr>
            <w:tcW w:w="551" w:type="dxa"/>
            <w:vMerge w:val="restart"/>
            <w:vAlign w:val="center"/>
          </w:tcPr>
          <w:p>
            <w:pPr>
              <w:spacing w:line="240" w:lineRule="auto"/>
              <w:jc w:val="left"/>
              <w:rPr>
                <w:rFonts w:ascii="宋体" w:hAnsi="宋体" w:cs="宋体"/>
                <w:szCs w:val="21"/>
              </w:rPr>
            </w:pPr>
            <w:r>
              <w:rPr>
                <w:rFonts w:hint="eastAsia" w:ascii="宋体" w:hAnsi="宋体" w:cs="宋体"/>
                <w:szCs w:val="21"/>
              </w:rPr>
              <w:t>质量保修</w:t>
            </w:r>
          </w:p>
        </w:tc>
        <w:tc>
          <w:tcPr>
            <w:tcW w:w="698" w:type="dxa"/>
          </w:tcPr>
          <w:p>
            <w:pPr>
              <w:spacing w:line="240" w:lineRule="auto"/>
              <w:jc w:val="left"/>
              <w:rPr>
                <w:rFonts w:ascii="宋体" w:hAnsi="宋体" w:cs="宋体"/>
                <w:szCs w:val="21"/>
              </w:rPr>
            </w:pPr>
            <w:r>
              <w:rPr>
                <w:rFonts w:hint="eastAsia" w:ascii="宋体" w:hAnsi="宋体" w:cs="宋体"/>
                <w:szCs w:val="21"/>
              </w:rPr>
              <w:t>2.4.1</w:t>
            </w:r>
          </w:p>
        </w:tc>
        <w:tc>
          <w:tcPr>
            <w:tcW w:w="3845" w:type="dxa"/>
          </w:tcPr>
          <w:p>
            <w:pPr>
              <w:spacing w:line="240" w:lineRule="auto"/>
              <w:jc w:val="left"/>
              <w:rPr>
                <w:rFonts w:ascii="宋体" w:hAnsi="宋体" w:cs="宋体"/>
                <w:szCs w:val="21"/>
              </w:rPr>
            </w:pPr>
            <w:r>
              <w:rPr>
                <w:rFonts w:hint="eastAsia" w:ascii="宋体" w:hAnsi="宋体" w:cs="宋体"/>
                <w:szCs w:val="21"/>
              </w:rPr>
              <w:t>未按规定履行工程质量保修义务的</w:t>
            </w:r>
          </w:p>
        </w:tc>
        <w:tc>
          <w:tcPr>
            <w:tcW w:w="1130" w:type="dxa"/>
          </w:tcPr>
          <w:p>
            <w:pPr>
              <w:spacing w:line="240" w:lineRule="auto"/>
              <w:jc w:val="left"/>
              <w:rPr>
                <w:rFonts w:ascii="宋体" w:hAnsi="宋体" w:cs="宋体"/>
                <w:szCs w:val="21"/>
              </w:rPr>
            </w:pPr>
            <w:r>
              <w:rPr>
                <w:rFonts w:hint="eastAsia" w:ascii="宋体" w:hAnsi="宋体" w:cs="宋体"/>
                <w:szCs w:val="21"/>
              </w:rPr>
              <w:t>扣1分</w:t>
            </w:r>
          </w:p>
        </w:tc>
        <w:tc>
          <w:tcPr>
            <w:tcW w:w="1185" w:type="dxa"/>
            <w:gridSpan w:val="3"/>
          </w:tcPr>
          <w:p>
            <w:pPr>
              <w:spacing w:line="240" w:lineRule="auto"/>
              <w:jc w:val="left"/>
              <w:rPr>
                <w:rFonts w:ascii="宋体" w:hAnsi="宋体" w:cs="宋体"/>
                <w:szCs w:val="21"/>
              </w:rPr>
            </w:pPr>
            <w:r>
              <w:rPr>
                <w:rFonts w:hint="eastAsia" w:ascii="宋体" w:hAnsi="宋体" w:cs="宋体"/>
                <w:szCs w:val="21"/>
              </w:rPr>
              <w:t>1万</w:t>
            </w:r>
          </w:p>
        </w:tc>
        <w:tc>
          <w:tcPr>
            <w:tcW w:w="1285" w:type="dxa"/>
            <w:gridSpan w:val="2"/>
          </w:tcPr>
          <w:p>
            <w:pPr>
              <w:spacing w:line="240" w:lineRule="auto"/>
              <w:ind w:left="3"/>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518"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jc w:val="left"/>
              <w:rPr>
                <w:rFonts w:ascii="宋体" w:hAnsi="宋体" w:cs="宋体"/>
                <w:szCs w:val="21"/>
              </w:rPr>
            </w:pPr>
          </w:p>
        </w:tc>
        <w:tc>
          <w:tcPr>
            <w:tcW w:w="698" w:type="dxa"/>
            <w:vAlign w:val="center"/>
          </w:tcPr>
          <w:p>
            <w:pPr>
              <w:spacing w:line="240" w:lineRule="auto"/>
              <w:jc w:val="left"/>
              <w:rPr>
                <w:rFonts w:ascii="宋体" w:hAnsi="宋体" w:cs="宋体"/>
                <w:szCs w:val="21"/>
              </w:rPr>
            </w:pPr>
            <w:r>
              <w:rPr>
                <w:rFonts w:hint="eastAsia" w:ascii="宋体" w:hAnsi="宋体" w:cs="宋体"/>
                <w:szCs w:val="21"/>
              </w:rPr>
              <w:t>2.4.2</w:t>
            </w:r>
          </w:p>
        </w:tc>
        <w:tc>
          <w:tcPr>
            <w:tcW w:w="3845" w:type="dxa"/>
          </w:tcPr>
          <w:p>
            <w:pPr>
              <w:spacing w:line="240" w:lineRule="auto"/>
              <w:jc w:val="left"/>
              <w:rPr>
                <w:rFonts w:ascii="宋体" w:hAnsi="宋体" w:cs="宋体"/>
                <w:szCs w:val="21"/>
              </w:rPr>
            </w:pPr>
            <w:r>
              <w:rPr>
                <w:rFonts w:hint="eastAsia" w:ascii="宋体" w:hAnsi="宋体" w:cs="宋体"/>
                <w:szCs w:val="21"/>
              </w:rPr>
              <w:t>在工程质量缺陷保修期内，维修后仍然不能解决问题或达到合格的质量标准的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扣0.3分/次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3000元/次</w:t>
            </w:r>
          </w:p>
        </w:tc>
        <w:tc>
          <w:tcPr>
            <w:tcW w:w="1285" w:type="dxa"/>
            <w:gridSpan w:val="2"/>
            <w:vAlign w:val="center"/>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772"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jc w:val="left"/>
              <w:rPr>
                <w:rFonts w:ascii="宋体" w:hAnsi="宋体" w:cs="宋体"/>
                <w:szCs w:val="21"/>
              </w:rPr>
            </w:pPr>
          </w:p>
        </w:tc>
        <w:tc>
          <w:tcPr>
            <w:tcW w:w="698" w:type="dxa"/>
            <w:vAlign w:val="center"/>
          </w:tcPr>
          <w:p>
            <w:pPr>
              <w:spacing w:line="240" w:lineRule="auto"/>
              <w:jc w:val="left"/>
              <w:rPr>
                <w:rFonts w:ascii="宋体" w:hAnsi="宋体" w:cs="宋体"/>
                <w:szCs w:val="21"/>
              </w:rPr>
            </w:pPr>
            <w:r>
              <w:rPr>
                <w:rFonts w:hint="eastAsia" w:ascii="宋体" w:hAnsi="宋体" w:cs="宋体"/>
                <w:szCs w:val="21"/>
              </w:rPr>
              <w:t>2.4.3</w:t>
            </w:r>
          </w:p>
        </w:tc>
        <w:tc>
          <w:tcPr>
            <w:tcW w:w="3845" w:type="dxa"/>
          </w:tcPr>
          <w:p>
            <w:pPr>
              <w:spacing w:line="240" w:lineRule="auto"/>
              <w:jc w:val="left"/>
              <w:rPr>
                <w:rFonts w:ascii="宋体" w:hAnsi="宋体" w:cs="宋体"/>
                <w:szCs w:val="21"/>
              </w:rPr>
            </w:pPr>
            <w:r>
              <w:rPr>
                <w:rFonts w:hint="eastAsia" w:ascii="宋体" w:hAnsi="宋体" w:cs="宋体"/>
                <w:szCs w:val="21"/>
              </w:rPr>
              <w:t>对于涉及结构安全的质量问题，未立即向发包人及主管部门报告，或未采取安全防范措施的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扣0.5分/次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5000元/次</w:t>
            </w:r>
          </w:p>
        </w:tc>
        <w:tc>
          <w:tcPr>
            <w:tcW w:w="1285" w:type="dxa"/>
            <w:gridSpan w:val="2"/>
            <w:vAlign w:val="center"/>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552"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jc w:val="left"/>
              <w:rPr>
                <w:rFonts w:ascii="宋体" w:hAnsi="宋体" w:cs="宋体"/>
                <w:szCs w:val="21"/>
              </w:rPr>
            </w:pPr>
          </w:p>
        </w:tc>
        <w:tc>
          <w:tcPr>
            <w:tcW w:w="698" w:type="dxa"/>
            <w:vAlign w:val="center"/>
          </w:tcPr>
          <w:p>
            <w:pPr>
              <w:spacing w:line="240" w:lineRule="auto"/>
              <w:jc w:val="left"/>
              <w:rPr>
                <w:rFonts w:ascii="宋体" w:hAnsi="宋体" w:cs="宋体"/>
                <w:szCs w:val="21"/>
              </w:rPr>
            </w:pPr>
            <w:r>
              <w:rPr>
                <w:rFonts w:hint="eastAsia" w:ascii="宋体" w:hAnsi="宋体" w:cs="宋体"/>
                <w:szCs w:val="21"/>
              </w:rPr>
              <w:t>2.4.4</w:t>
            </w:r>
          </w:p>
        </w:tc>
        <w:tc>
          <w:tcPr>
            <w:tcW w:w="3845" w:type="dxa"/>
          </w:tcPr>
          <w:p>
            <w:pPr>
              <w:spacing w:line="240" w:lineRule="auto"/>
              <w:jc w:val="left"/>
              <w:rPr>
                <w:rFonts w:ascii="宋体" w:hAnsi="宋体" w:cs="宋体"/>
                <w:szCs w:val="21"/>
              </w:rPr>
            </w:pPr>
            <w:r>
              <w:rPr>
                <w:rFonts w:hint="eastAsia" w:ascii="宋体" w:hAnsi="宋体" w:cs="宋体"/>
                <w:szCs w:val="21"/>
              </w:rPr>
              <w:t>承包人负责的维修质量未经发包人验收签字的，或维修工作完成后承包人未恢复原状并将施工现场清理干净的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扣0.5分/次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5000元/次</w:t>
            </w:r>
          </w:p>
        </w:tc>
        <w:tc>
          <w:tcPr>
            <w:tcW w:w="1285" w:type="dxa"/>
            <w:gridSpan w:val="2"/>
            <w:vAlign w:val="center"/>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552"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jc w:val="left"/>
              <w:rPr>
                <w:rFonts w:ascii="宋体" w:hAnsi="宋体" w:cs="宋体"/>
                <w:szCs w:val="21"/>
              </w:rPr>
            </w:pPr>
          </w:p>
        </w:tc>
        <w:tc>
          <w:tcPr>
            <w:tcW w:w="698" w:type="dxa"/>
            <w:vAlign w:val="center"/>
          </w:tcPr>
          <w:p>
            <w:pPr>
              <w:spacing w:line="240" w:lineRule="auto"/>
              <w:jc w:val="left"/>
              <w:rPr>
                <w:rFonts w:ascii="宋体" w:hAnsi="宋体" w:cs="宋体"/>
                <w:szCs w:val="21"/>
              </w:rPr>
            </w:pPr>
            <w:r>
              <w:rPr>
                <w:rFonts w:hint="eastAsia" w:ascii="宋体" w:hAnsi="宋体" w:cs="宋体"/>
                <w:szCs w:val="21"/>
              </w:rPr>
              <w:t>2.4.5</w:t>
            </w:r>
          </w:p>
        </w:tc>
        <w:tc>
          <w:tcPr>
            <w:tcW w:w="3845" w:type="dxa"/>
          </w:tcPr>
          <w:p>
            <w:pPr>
              <w:spacing w:line="240" w:lineRule="auto"/>
              <w:jc w:val="left"/>
              <w:rPr>
                <w:rFonts w:ascii="宋体" w:hAnsi="宋体" w:cs="宋体"/>
                <w:szCs w:val="21"/>
              </w:rPr>
            </w:pPr>
            <w:r>
              <w:rPr>
                <w:rFonts w:hint="eastAsia" w:ascii="宋体" w:hAnsi="宋体" w:cs="宋体"/>
                <w:szCs w:val="21"/>
              </w:rPr>
              <w:t>承包人未履行监理人的指令对缺陷工程进行修补、修复或重建，发包人可自行修复或委托其他人修复</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应由承包人承担修复和查验的费用，并按该项修复和查验费用的10%扣除承包人违约金</w:t>
            </w:r>
          </w:p>
        </w:tc>
        <w:tc>
          <w:tcPr>
            <w:tcW w:w="1285" w:type="dxa"/>
            <w:gridSpan w:val="2"/>
            <w:vAlign w:val="center"/>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552" w:hRule="atLeast"/>
        </w:trPr>
        <w:tc>
          <w:tcPr>
            <w:tcW w:w="351" w:type="dxa"/>
            <w:gridSpan w:val="2"/>
            <w:vMerge w:val="continue"/>
          </w:tcPr>
          <w:p>
            <w:pPr>
              <w:spacing w:line="240" w:lineRule="auto"/>
              <w:jc w:val="left"/>
              <w:rPr>
                <w:rFonts w:ascii="宋体" w:hAnsi="宋体" w:cs="宋体"/>
                <w:szCs w:val="21"/>
              </w:rPr>
            </w:pPr>
          </w:p>
        </w:tc>
        <w:tc>
          <w:tcPr>
            <w:tcW w:w="551" w:type="dxa"/>
            <w:vMerge w:val="restart"/>
            <w:vAlign w:val="center"/>
          </w:tcPr>
          <w:p>
            <w:pPr>
              <w:spacing w:line="240" w:lineRule="auto"/>
              <w:jc w:val="left"/>
              <w:rPr>
                <w:rFonts w:ascii="宋体" w:hAnsi="宋体" w:cs="宋体"/>
                <w:szCs w:val="21"/>
              </w:rPr>
            </w:pPr>
            <w:r>
              <w:rPr>
                <w:rFonts w:hint="eastAsia" w:ascii="宋体" w:hAnsi="宋体" w:cs="宋体"/>
                <w:szCs w:val="21"/>
              </w:rPr>
              <w:t>综合</w:t>
            </w:r>
          </w:p>
        </w:tc>
        <w:tc>
          <w:tcPr>
            <w:tcW w:w="698" w:type="dxa"/>
            <w:vAlign w:val="center"/>
          </w:tcPr>
          <w:p>
            <w:pPr>
              <w:spacing w:line="240" w:lineRule="auto"/>
              <w:jc w:val="left"/>
              <w:rPr>
                <w:rFonts w:ascii="宋体" w:hAnsi="宋体" w:cs="宋体"/>
                <w:szCs w:val="21"/>
              </w:rPr>
            </w:pPr>
            <w:r>
              <w:rPr>
                <w:rFonts w:hint="eastAsia" w:ascii="宋体" w:hAnsi="宋体" w:cs="宋体"/>
                <w:szCs w:val="21"/>
              </w:rPr>
              <w:t>2.5.1</w:t>
            </w:r>
          </w:p>
        </w:tc>
        <w:tc>
          <w:tcPr>
            <w:tcW w:w="3845" w:type="dxa"/>
          </w:tcPr>
          <w:p>
            <w:pPr>
              <w:spacing w:line="240" w:lineRule="auto"/>
              <w:jc w:val="left"/>
              <w:rPr>
                <w:rFonts w:ascii="宋体" w:hAnsi="宋体" w:cs="宋体"/>
                <w:szCs w:val="21"/>
              </w:rPr>
            </w:pPr>
            <w:r>
              <w:rPr>
                <w:rFonts w:hint="eastAsia" w:ascii="宋体" w:hAnsi="宋体" w:cs="宋体"/>
                <w:szCs w:val="21"/>
              </w:rPr>
              <w:t>擅自修改工程勘察设计文件的，或未按批准的设计文件施工的，或偷工减料或弄虚作假降低工程质量标准的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扣1分/次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1万/次</w:t>
            </w:r>
          </w:p>
        </w:tc>
        <w:tc>
          <w:tcPr>
            <w:tcW w:w="1285" w:type="dxa"/>
            <w:gridSpan w:val="2"/>
            <w:vAlign w:val="center"/>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552"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jc w:val="left"/>
              <w:rPr>
                <w:rFonts w:ascii="宋体" w:hAnsi="宋体" w:cs="宋体"/>
                <w:szCs w:val="21"/>
              </w:rPr>
            </w:pPr>
          </w:p>
        </w:tc>
        <w:tc>
          <w:tcPr>
            <w:tcW w:w="698" w:type="dxa"/>
            <w:vAlign w:val="center"/>
          </w:tcPr>
          <w:p>
            <w:pPr>
              <w:spacing w:line="240" w:lineRule="auto"/>
              <w:jc w:val="left"/>
              <w:rPr>
                <w:rFonts w:ascii="宋体" w:hAnsi="宋体" w:cs="宋体"/>
                <w:szCs w:val="21"/>
              </w:rPr>
            </w:pPr>
            <w:r>
              <w:rPr>
                <w:rFonts w:hint="eastAsia" w:ascii="宋体" w:hAnsi="宋体" w:cs="宋体"/>
                <w:szCs w:val="21"/>
              </w:rPr>
              <w:t>2.5.2</w:t>
            </w:r>
          </w:p>
        </w:tc>
        <w:tc>
          <w:tcPr>
            <w:tcW w:w="3845" w:type="dxa"/>
          </w:tcPr>
          <w:p>
            <w:pPr>
              <w:spacing w:line="240" w:lineRule="auto"/>
              <w:jc w:val="left"/>
              <w:rPr>
                <w:rFonts w:ascii="宋体" w:hAnsi="宋体" w:cs="宋体"/>
                <w:szCs w:val="21"/>
              </w:rPr>
            </w:pPr>
            <w:r>
              <w:rPr>
                <w:rFonts w:hint="eastAsia" w:ascii="宋体" w:hAnsi="宋体" w:cs="宋体"/>
                <w:szCs w:val="21"/>
              </w:rPr>
              <w:t>质控机构、质保体系、规章制度不健全的，或未制定质量管理目标责任制的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扣0.2分/项</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2000元/项</w:t>
            </w:r>
          </w:p>
        </w:tc>
        <w:tc>
          <w:tcPr>
            <w:tcW w:w="1285" w:type="dxa"/>
            <w:gridSpan w:val="2"/>
            <w:vAlign w:val="center"/>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294" w:hRule="atLeast"/>
        </w:trPr>
        <w:tc>
          <w:tcPr>
            <w:tcW w:w="351" w:type="dxa"/>
            <w:gridSpan w:val="2"/>
            <w:vMerge w:val="continue"/>
          </w:tcPr>
          <w:p>
            <w:pPr>
              <w:spacing w:line="240" w:lineRule="auto"/>
              <w:jc w:val="left"/>
              <w:rPr>
                <w:rFonts w:ascii="宋体" w:hAnsi="宋体" w:cs="宋体"/>
                <w:szCs w:val="21"/>
              </w:rPr>
            </w:pPr>
          </w:p>
        </w:tc>
        <w:tc>
          <w:tcPr>
            <w:tcW w:w="551" w:type="dxa"/>
            <w:vMerge w:val="continue"/>
          </w:tcPr>
          <w:p>
            <w:pPr>
              <w:spacing w:line="240" w:lineRule="auto"/>
              <w:jc w:val="left"/>
              <w:rPr>
                <w:rFonts w:ascii="宋体" w:hAnsi="宋体" w:cs="宋体"/>
                <w:szCs w:val="21"/>
              </w:rPr>
            </w:pPr>
          </w:p>
        </w:tc>
        <w:tc>
          <w:tcPr>
            <w:tcW w:w="698" w:type="dxa"/>
          </w:tcPr>
          <w:p>
            <w:pPr>
              <w:spacing w:line="240" w:lineRule="auto"/>
              <w:jc w:val="left"/>
              <w:rPr>
                <w:rFonts w:ascii="宋体" w:hAnsi="宋体" w:cs="宋体"/>
                <w:szCs w:val="21"/>
              </w:rPr>
            </w:pPr>
            <w:r>
              <w:rPr>
                <w:rFonts w:hint="eastAsia" w:ascii="宋体" w:hAnsi="宋体" w:cs="宋体"/>
                <w:szCs w:val="21"/>
              </w:rPr>
              <w:t>2.5.3</w:t>
            </w:r>
          </w:p>
        </w:tc>
        <w:tc>
          <w:tcPr>
            <w:tcW w:w="3845" w:type="dxa"/>
          </w:tcPr>
          <w:p>
            <w:pPr>
              <w:spacing w:line="240" w:lineRule="auto"/>
              <w:jc w:val="left"/>
              <w:rPr>
                <w:rFonts w:ascii="宋体" w:hAnsi="宋体" w:cs="宋体"/>
                <w:szCs w:val="21"/>
              </w:rPr>
            </w:pPr>
            <w:r>
              <w:rPr>
                <w:rFonts w:hint="eastAsia" w:ascii="宋体" w:hAnsi="宋体" w:cs="宋体"/>
                <w:szCs w:val="21"/>
              </w:rPr>
              <w:t>违反有关工程质量强制性条文的行为</w:t>
            </w:r>
          </w:p>
        </w:tc>
        <w:tc>
          <w:tcPr>
            <w:tcW w:w="1130" w:type="dxa"/>
          </w:tcPr>
          <w:p>
            <w:pPr>
              <w:spacing w:line="240" w:lineRule="auto"/>
              <w:jc w:val="left"/>
              <w:rPr>
                <w:rFonts w:ascii="宋体" w:hAnsi="宋体" w:cs="宋体"/>
                <w:szCs w:val="21"/>
              </w:rPr>
            </w:pPr>
            <w:r>
              <w:rPr>
                <w:rFonts w:hint="eastAsia" w:ascii="宋体" w:hAnsi="宋体" w:cs="宋体"/>
                <w:szCs w:val="21"/>
              </w:rPr>
              <w:t>扣2分/条</w:t>
            </w:r>
          </w:p>
        </w:tc>
        <w:tc>
          <w:tcPr>
            <w:tcW w:w="1185" w:type="dxa"/>
            <w:gridSpan w:val="3"/>
          </w:tcPr>
          <w:p>
            <w:pPr>
              <w:spacing w:line="240" w:lineRule="auto"/>
              <w:jc w:val="left"/>
              <w:rPr>
                <w:rFonts w:ascii="宋体" w:hAnsi="宋体" w:cs="宋体"/>
                <w:szCs w:val="21"/>
              </w:rPr>
            </w:pPr>
            <w:r>
              <w:rPr>
                <w:rFonts w:hint="eastAsia" w:ascii="宋体" w:hAnsi="宋体" w:cs="宋体"/>
                <w:szCs w:val="21"/>
              </w:rPr>
              <w:t>2万/条</w:t>
            </w:r>
          </w:p>
        </w:tc>
        <w:tc>
          <w:tcPr>
            <w:tcW w:w="1285" w:type="dxa"/>
            <w:gridSpan w:val="2"/>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9" w:type="dxa"/>
            <w:left w:w="107" w:type="dxa"/>
            <w:bottom w:w="0" w:type="dxa"/>
            <w:right w:w="109" w:type="dxa"/>
          </w:tblCellMar>
        </w:tblPrEx>
        <w:trPr>
          <w:gridBefore w:val="1"/>
          <w:wBefore w:w="15" w:type="dxa"/>
          <w:trHeight w:val="294" w:hRule="atLeast"/>
        </w:trPr>
        <w:tc>
          <w:tcPr>
            <w:tcW w:w="351" w:type="dxa"/>
            <w:gridSpan w:val="2"/>
            <w:vMerge w:val="continue"/>
          </w:tcPr>
          <w:p>
            <w:pPr>
              <w:spacing w:line="240" w:lineRule="auto"/>
              <w:jc w:val="left"/>
              <w:rPr>
                <w:rFonts w:ascii="宋体" w:hAnsi="宋体" w:cs="宋体"/>
                <w:szCs w:val="21"/>
              </w:rPr>
            </w:pPr>
          </w:p>
        </w:tc>
        <w:tc>
          <w:tcPr>
            <w:tcW w:w="551" w:type="dxa"/>
            <w:vMerge w:val="continue"/>
          </w:tcPr>
          <w:p>
            <w:pPr>
              <w:spacing w:line="240" w:lineRule="auto"/>
              <w:jc w:val="left"/>
              <w:rPr>
                <w:rFonts w:ascii="宋体" w:hAnsi="宋体" w:cs="宋体"/>
                <w:szCs w:val="21"/>
              </w:rPr>
            </w:pPr>
          </w:p>
        </w:tc>
        <w:tc>
          <w:tcPr>
            <w:tcW w:w="698" w:type="dxa"/>
          </w:tcPr>
          <w:p>
            <w:pPr>
              <w:spacing w:line="240" w:lineRule="auto"/>
              <w:jc w:val="left"/>
              <w:rPr>
                <w:rFonts w:ascii="宋体" w:hAnsi="宋体" w:cs="宋体"/>
                <w:szCs w:val="21"/>
              </w:rPr>
            </w:pPr>
            <w:r>
              <w:rPr>
                <w:rFonts w:hint="eastAsia" w:ascii="宋体" w:hAnsi="宋体" w:cs="宋体"/>
                <w:szCs w:val="21"/>
              </w:rPr>
              <w:t>2.5.4</w:t>
            </w:r>
          </w:p>
        </w:tc>
        <w:tc>
          <w:tcPr>
            <w:tcW w:w="3845" w:type="dxa"/>
          </w:tcPr>
          <w:p>
            <w:pPr>
              <w:spacing w:line="240" w:lineRule="auto"/>
              <w:jc w:val="left"/>
              <w:rPr>
                <w:rFonts w:ascii="宋体" w:hAnsi="宋体" w:cs="宋体"/>
                <w:szCs w:val="21"/>
              </w:rPr>
            </w:pPr>
            <w:r>
              <w:rPr>
                <w:rFonts w:hint="eastAsia" w:ascii="宋体" w:hAnsi="宋体" w:cs="宋体"/>
                <w:szCs w:val="21"/>
              </w:rPr>
              <w:t>对分包单位工程不进行质量管理的</w:t>
            </w:r>
          </w:p>
        </w:tc>
        <w:tc>
          <w:tcPr>
            <w:tcW w:w="1130" w:type="dxa"/>
          </w:tcPr>
          <w:p>
            <w:pPr>
              <w:spacing w:line="240" w:lineRule="auto"/>
              <w:jc w:val="left"/>
              <w:rPr>
                <w:rFonts w:ascii="宋体" w:hAnsi="宋体" w:cs="宋体"/>
                <w:szCs w:val="21"/>
              </w:rPr>
            </w:pPr>
            <w:r>
              <w:rPr>
                <w:rFonts w:hint="eastAsia" w:ascii="宋体" w:hAnsi="宋体" w:cs="宋体"/>
                <w:szCs w:val="21"/>
              </w:rPr>
              <w:t>扣0.2分/项</w:t>
            </w:r>
          </w:p>
        </w:tc>
        <w:tc>
          <w:tcPr>
            <w:tcW w:w="1185" w:type="dxa"/>
            <w:gridSpan w:val="3"/>
          </w:tcPr>
          <w:p>
            <w:pPr>
              <w:spacing w:line="240" w:lineRule="auto"/>
              <w:jc w:val="left"/>
              <w:rPr>
                <w:rFonts w:ascii="宋体" w:hAnsi="宋体" w:cs="宋体"/>
                <w:szCs w:val="21"/>
              </w:rPr>
            </w:pPr>
            <w:r>
              <w:rPr>
                <w:rFonts w:hint="eastAsia" w:ascii="宋体" w:hAnsi="宋体" w:cs="宋体"/>
                <w:szCs w:val="21"/>
              </w:rPr>
              <w:t>2000元/项</w:t>
            </w:r>
          </w:p>
        </w:tc>
        <w:tc>
          <w:tcPr>
            <w:tcW w:w="1285" w:type="dxa"/>
            <w:gridSpan w:val="2"/>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1" w:type="dxa"/>
            <w:left w:w="71" w:type="dxa"/>
            <w:bottom w:w="0" w:type="dxa"/>
            <w:right w:w="108" w:type="dxa"/>
          </w:tblCellMar>
        </w:tblPrEx>
        <w:trPr>
          <w:gridBefore w:val="1"/>
          <w:wBefore w:w="15" w:type="dxa"/>
          <w:trHeight w:val="1390" w:hRule="atLeast"/>
        </w:trPr>
        <w:tc>
          <w:tcPr>
            <w:tcW w:w="351" w:type="dxa"/>
            <w:gridSpan w:val="2"/>
            <w:vAlign w:val="center"/>
          </w:tcPr>
          <w:p>
            <w:pPr>
              <w:spacing w:line="240" w:lineRule="auto"/>
              <w:jc w:val="left"/>
              <w:rPr>
                <w:rFonts w:ascii="宋体" w:hAnsi="宋体" w:cs="宋体"/>
                <w:szCs w:val="21"/>
              </w:rPr>
            </w:pPr>
            <w:r>
              <w:rPr>
                <w:rFonts w:hint="eastAsia" w:ascii="宋体" w:hAnsi="宋体" w:cs="宋体"/>
                <w:szCs w:val="21"/>
              </w:rPr>
              <w:t>三</w:t>
            </w:r>
          </w:p>
        </w:tc>
        <w:tc>
          <w:tcPr>
            <w:tcW w:w="551" w:type="dxa"/>
            <w:vAlign w:val="center"/>
          </w:tcPr>
          <w:p>
            <w:pPr>
              <w:spacing w:line="240" w:lineRule="auto"/>
              <w:ind w:left="38"/>
              <w:jc w:val="left"/>
              <w:rPr>
                <w:rFonts w:ascii="宋体" w:hAnsi="宋体" w:cs="宋体"/>
                <w:szCs w:val="21"/>
              </w:rPr>
            </w:pPr>
            <w:r>
              <w:rPr>
                <w:rFonts w:hint="eastAsia" w:ascii="宋体" w:hAnsi="宋体" w:cs="宋体"/>
                <w:szCs w:val="21"/>
              </w:rPr>
              <w:t>安全文明施工</w:t>
            </w:r>
          </w:p>
        </w:tc>
        <w:tc>
          <w:tcPr>
            <w:tcW w:w="698" w:type="dxa"/>
            <w:vAlign w:val="center"/>
          </w:tcPr>
          <w:p>
            <w:pPr>
              <w:spacing w:line="240" w:lineRule="auto"/>
              <w:ind w:left="38"/>
              <w:jc w:val="left"/>
              <w:rPr>
                <w:rFonts w:ascii="宋体" w:hAnsi="宋体" w:cs="宋体"/>
                <w:szCs w:val="21"/>
              </w:rPr>
            </w:pPr>
            <w:r>
              <w:rPr>
                <w:rFonts w:hint="eastAsia" w:ascii="宋体" w:hAnsi="宋体" w:cs="宋体"/>
                <w:szCs w:val="21"/>
              </w:rPr>
              <w:t>3.1</w:t>
            </w:r>
          </w:p>
        </w:tc>
        <w:tc>
          <w:tcPr>
            <w:tcW w:w="3845" w:type="dxa"/>
            <w:vAlign w:val="center"/>
          </w:tcPr>
          <w:p>
            <w:pPr>
              <w:spacing w:line="240" w:lineRule="auto"/>
              <w:jc w:val="left"/>
              <w:rPr>
                <w:rFonts w:ascii="宋体" w:hAnsi="宋体" w:cs="宋体"/>
                <w:szCs w:val="21"/>
              </w:rPr>
            </w:pPr>
            <w:r>
              <w:rPr>
                <w:rFonts w:hint="eastAsia" w:ascii="宋体" w:hAnsi="宋体" w:cs="宋体"/>
                <w:szCs w:val="21"/>
              </w:rPr>
              <w:t>详见建设工程施工合同附表《施工单位安全文明施工违约行为处分标准》</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∑安全文明施工违约扣分</w:t>
            </w:r>
          </w:p>
          <w:p>
            <w:pPr>
              <w:spacing w:line="240" w:lineRule="auto"/>
              <w:ind w:left="38"/>
              <w:jc w:val="left"/>
              <w:rPr>
                <w:rFonts w:ascii="宋体" w:hAnsi="宋体" w:cs="宋体"/>
                <w:szCs w:val="21"/>
              </w:rPr>
            </w:pPr>
            <w:r>
              <w:rPr>
                <w:rFonts w:hint="eastAsia" w:ascii="宋体" w:hAnsi="宋体" w:cs="宋体"/>
                <w:szCs w:val="21"/>
              </w:rPr>
              <w:t>*20/100</w:t>
            </w:r>
          </w:p>
        </w:tc>
        <w:tc>
          <w:tcPr>
            <w:tcW w:w="1185" w:type="dxa"/>
            <w:gridSpan w:val="3"/>
            <w:vAlign w:val="center"/>
          </w:tcPr>
          <w:p>
            <w:pPr>
              <w:spacing w:line="240" w:lineRule="auto"/>
              <w:ind w:left="38"/>
              <w:jc w:val="left"/>
              <w:rPr>
                <w:rFonts w:ascii="宋体" w:hAnsi="宋体" w:cs="宋体"/>
                <w:szCs w:val="21"/>
              </w:rPr>
            </w:pPr>
            <w:r>
              <w:rPr>
                <w:rFonts w:hint="eastAsia" w:ascii="宋体" w:hAnsi="宋体" w:cs="宋体"/>
                <w:szCs w:val="21"/>
              </w:rPr>
              <w:t>违约金额与《施工单位安全文明施工违约行为处分标准》经济金额处分一致</w:t>
            </w:r>
          </w:p>
        </w:tc>
        <w:tc>
          <w:tcPr>
            <w:tcW w:w="1285" w:type="dxa"/>
            <w:gridSpan w:val="2"/>
            <w:vAlign w:val="center"/>
          </w:tcPr>
          <w:p>
            <w:pPr>
              <w:spacing w:line="240" w:lineRule="auto"/>
              <w:ind w:left="38"/>
              <w:jc w:val="left"/>
              <w:rPr>
                <w:rFonts w:ascii="宋体" w:hAnsi="宋体" w:cs="宋体"/>
                <w:szCs w:val="21"/>
              </w:rPr>
            </w:pPr>
            <w:r>
              <w:rPr>
                <w:rFonts w:hint="eastAsia" w:ascii="宋体" w:hAnsi="宋体" w:cs="宋体"/>
                <w:szCs w:val="21"/>
              </w:rPr>
              <w:t>详见附表《施工单位安全文明施工违约行为处分标准》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1" w:type="dxa"/>
            <w:left w:w="71" w:type="dxa"/>
            <w:bottom w:w="0" w:type="dxa"/>
            <w:right w:w="108" w:type="dxa"/>
          </w:tblCellMar>
        </w:tblPrEx>
        <w:trPr>
          <w:gridBefore w:val="1"/>
          <w:wBefore w:w="15" w:type="dxa"/>
          <w:trHeight w:val="566" w:hRule="atLeast"/>
        </w:trPr>
        <w:tc>
          <w:tcPr>
            <w:tcW w:w="351" w:type="dxa"/>
            <w:gridSpan w:val="2"/>
            <w:vMerge w:val="restart"/>
            <w:vAlign w:val="center"/>
          </w:tcPr>
          <w:p>
            <w:pPr>
              <w:spacing w:line="240" w:lineRule="auto"/>
              <w:ind w:right="12"/>
              <w:jc w:val="left"/>
              <w:rPr>
                <w:rFonts w:ascii="宋体" w:hAnsi="宋体" w:cs="宋体"/>
                <w:szCs w:val="21"/>
              </w:rPr>
            </w:pPr>
            <w:r>
              <w:rPr>
                <w:rFonts w:hint="eastAsia" w:ascii="宋体" w:hAnsi="宋体" w:cs="宋体"/>
                <w:szCs w:val="21"/>
              </w:rPr>
              <w:t>四、进度控制</w:t>
            </w:r>
          </w:p>
        </w:tc>
        <w:tc>
          <w:tcPr>
            <w:tcW w:w="551" w:type="dxa"/>
            <w:vMerge w:val="restart"/>
            <w:vAlign w:val="center"/>
          </w:tcPr>
          <w:p>
            <w:pPr>
              <w:spacing w:line="240" w:lineRule="auto"/>
              <w:ind w:left="35"/>
              <w:jc w:val="left"/>
              <w:rPr>
                <w:rFonts w:ascii="宋体" w:hAnsi="宋体" w:cs="宋体"/>
                <w:szCs w:val="21"/>
              </w:rPr>
            </w:pPr>
            <w:r>
              <w:rPr>
                <w:rFonts w:hint="eastAsia" w:ascii="宋体" w:hAnsi="宋体" w:cs="宋体"/>
                <w:szCs w:val="21"/>
              </w:rPr>
              <w:t>时间要求</w:t>
            </w:r>
          </w:p>
        </w:tc>
        <w:tc>
          <w:tcPr>
            <w:tcW w:w="698" w:type="dxa"/>
            <w:vAlign w:val="center"/>
          </w:tcPr>
          <w:p>
            <w:pPr>
              <w:spacing w:line="240" w:lineRule="auto"/>
              <w:ind w:left="35"/>
              <w:jc w:val="left"/>
              <w:rPr>
                <w:rFonts w:ascii="宋体" w:hAnsi="宋体" w:cs="宋体"/>
                <w:szCs w:val="21"/>
              </w:rPr>
            </w:pPr>
            <w:r>
              <w:rPr>
                <w:rFonts w:hint="eastAsia" w:ascii="宋体" w:hAnsi="宋体" w:cs="宋体"/>
                <w:szCs w:val="21"/>
              </w:rPr>
              <w:t>4.1.1</w:t>
            </w:r>
          </w:p>
        </w:tc>
        <w:tc>
          <w:tcPr>
            <w:tcW w:w="3845" w:type="dxa"/>
          </w:tcPr>
          <w:p>
            <w:pPr>
              <w:spacing w:line="240" w:lineRule="auto"/>
              <w:ind w:left="36"/>
              <w:jc w:val="left"/>
              <w:rPr>
                <w:rFonts w:ascii="宋体" w:hAnsi="宋体" w:cs="宋体"/>
                <w:szCs w:val="21"/>
              </w:rPr>
            </w:pPr>
            <w:r>
              <w:rPr>
                <w:rFonts w:hint="eastAsia" w:ascii="宋体" w:hAnsi="宋体" w:cs="宋体"/>
                <w:szCs w:val="21"/>
              </w:rPr>
              <w:t>未按照规定和承诺及时提交符合工程实际情况的施工组织设计并得到工程师的批准的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扣1分/次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1万/次</w:t>
            </w:r>
          </w:p>
        </w:tc>
        <w:tc>
          <w:tcPr>
            <w:tcW w:w="1285" w:type="dxa"/>
            <w:gridSpan w:val="2"/>
            <w:vAlign w:val="center"/>
          </w:tcPr>
          <w:p>
            <w:pPr>
              <w:spacing w:line="240" w:lineRule="auto"/>
              <w:ind w:left="3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1" w:type="dxa"/>
            <w:left w:w="71" w:type="dxa"/>
            <w:bottom w:w="0" w:type="dxa"/>
            <w:right w:w="108" w:type="dxa"/>
          </w:tblCellMar>
        </w:tblPrEx>
        <w:trPr>
          <w:gridBefore w:val="1"/>
          <w:wBefore w:w="15" w:type="dxa"/>
          <w:trHeight w:val="716"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35"/>
              <w:jc w:val="left"/>
              <w:rPr>
                <w:rFonts w:ascii="宋体" w:hAnsi="宋体" w:cs="宋体"/>
                <w:szCs w:val="21"/>
              </w:rPr>
            </w:pPr>
          </w:p>
        </w:tc>
        <w:tc>
          <w:tcPr>
            <w:tcW w:w="698" w:type="dxa"/>
            <w:vAlign w:val="center"/>
          </w:tcPr>
          <w:p>
            <w:pPr>
              <w:spacing w:line="240" w:lineRule="auto"/>
              <w:ind w:left="35"/>
              <w:jc w:val="left"/>
              <w:rPr>
                <w:rFonts w:ascii="宋体" w:hAnsi="宋体" w:cs="宋体"/>
                <w:szCs w:val="21"/>
              </w:rPr>
            </w:pPr>
            <w:r>
              <w:rPr>
                <w:rFonts w:hint="eastAsia" w:ascii="宋体" w:hAnsi="宋体" w:cs="宋体"/>
                <w:szCs w:val="21"/>
              </w:rPr>
              <w:t>4.1.2</w:t>
            </w:r>
          </w:p>
        </w:tc>
        <w:tc>
          <w:tcPr>
            <w:tcW w:w="3845" w:type="dxa"/>
            <w:vAlign w:val="center"/>
          </w:tcPr>
          <w:p>
            <w:pPr>
              <w:spacing w:line="240" w:lineRule="auto"/>
              <w:ind w:left="36"/>
              <w:jc w:val="left"/>
              <w:rPr>
                <w:rFonts w:ascii="宋体" w:hAnsi="宋体" w:cs="宋体"/>
                <w:szCs w:val="21"/>
              </w:rPr>
            </w:pPr>
            <w:r>
              <w:rPr>
                <w:rFonts w:hint="eastAsia" w:ascii="宋体" w:hAnsi="宋体" w:cs="宋体"/>
                <w:szCs w:val="21"/>
              </w:rPr>
              <w:t>未按照规定及时提交竣工结算书和结算资料的，或提交修改竣工结算书或补充结算资料的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扣0.5分/次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5000元/次</w:t>
            </w:r>
          </w:p>
        </w:tc>
        <w:tc>
          <w:tcPr>
            <w:tcW w:w="1285" w:type="dxa"/>
            <w:gridSpan w:val="2"/>
            <w:vAlign w:val="center"/>
          </w:tcPr>
          <w:p>
            <w:pPr>
              <w:spacing w:line="240" w:lineRule="auto"/>
              <w:ind w:left="155"/>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1" w:type="dxa"/>
            <w:left w:w="71" w:type="dxa"/>
            <w:bottom w:w="0" w:type="dxa"/>
            <w:right w:w="108" w:type="dxa"/>
          </w:tblCellMar>
        </w:tblPrEx>
        <w:trPr>
          <w:gridBefore w:val="1"/>
          <w:wBefore w:w="15" w:type="dxa"/>
          <w:trHeight w:val="557"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35"/>
              <w:jc w:val="left"/>
              <w:rPr>
                <w:rFonts w:ascii="宋体" w:hAnsi="宋体" w:cs="宋体"/>
                <w:szCs w:val="21"/>
              </w:rPr>
            </w:pPr>
          </w:p>
        </w:tc>
        <w:tc>
          <w:tcPr>
            <w:tcW w:w="698" w:type="dxa"/>
            <w:vAlign w:val="center"/>
          </w:tcPr>
          <w:p>
            <w:pPr>
              <w:spacing w:line="240" w:lineRule="auto"/>
              <w:ind w:left="35"/>
              <w:jc w:val="left"/>
              <w:rPr>
                <w:rFonts w:ascii="宋体" w:hAnsi="宋体" w:cs="宋体"/>
                <w:szCs w:val="21"/>
              </w:rPr>
            </w:pPr>
            <w:r>
              <w:rPr>
                <w:rFonts w:hint="eastAsia" w:ascii="宋体" w:hAnsi="宋体" w:cs="宋体"/>
                <w:szCs w:val="21"/>
              </w:rPr>
              <w:t>4.1.3</w:t>
            </w:r>
          </w:p>
        </w:tc>
        <w:tc>
          <w:tcPr>
            <w:tcW w:w="3845" w:type="dxa"/>
          </w:tcPr>
          <w:p>
            <w:pPr>
              <w:spacing w:line="240" w:lineRule="auto"/>
              <w:ind w:left="36"/>
              <w:jc w:val="left"/>
              <w:rPr>
                <w:rFonts w:ascii="宋体" w:hAnsi="宋体" w:cs="宋体"/>
                <w:szCs w:val="21"/>
              </w:rPr>
            </w:pPr>
            <w:r>
              <w:rPr>
                <w:rFonts w:hint="eastAsia" w:ascii="宋体" w:hAnsi="宋体" w:cs="宋体"/>
                <w:szCs w:val="21"/>
              </w:rPr>
              <w:t>在接到质量保修通知后未按及时派人维修的，或接到紧急抢修事故通知后未立即到达事故现场抢修的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扣0.5分/次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5000元/次</w:t>
            </w:r>
          </w:p>
        </w:tc>
        <w:tc>
          <w:tcPr>
            <w:tcW w:w="1285" w:type="dxa"/>
            <w:gridSpan w:val="2"/>
            <w:vAlign w:val="center"/>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1" w:type="dxa"/>
            <w:left w:w="71" w:type="dxa"/>
            <w:bottom w:w="0" w:type="dxa"/>
            <w:right w:w="108" w:type="dxa"/>
          </w:tblCellMar>
        </w:tblPrEx>
        <w:trPr>
          <w:gridBefore w:val="1"/>
          <w:wBefore w:w="15" w:type="dxa"/>
          <w:trHeight w:val="565"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35"/>
              <w:jc w:val="left"/>
              <w:rPr>
                <w:rFonts w:ascii="宋体" w:hAnsi="宋体" w:cs="宋体"/>
                <w:szCs w:val="21"/>
              </w:rPr>
            </w:pPr>
          </w:p>
        </w:tc>
        <w:tc>
          <w:tcPr>
            <w:tcW w:w="698" w:type="dxa"/>
            <w:vAlign w:val="center"/>
          </w:tcPr>
          <w:p>
            <w:pPr>
              <w:spacing w:line="240" w:lineRule="auto"/>
              <w:ind w:left="35"/>
              <w:jc w:val="left"/>
              <w:rPr>
                <w:rFonts w:ascii="宋体" w:hAnsi="宋体" w:cs="宋体"/>
                <w:szCs w:val="21"/>
              </w:rPr>
            </w:pPr>
            <w:r>
              <w:rPr>
                <w:rFonts w:hint="eastAsia" w:ascii="宋体" w:hAnsi="宋体" w:cs="宋体"/>
                <w:szCs w:val="21"/>
              </w:rPr>
              <w:t>4.1.4</w:t>
            </w:r>
          </w:p>
        </w:tc>
        <w:tc>
          <w:tcPr>
            <w:tcW w:w="3845" w:type="dxa"/>
          </w:tcPr>
          <w:p>
            <w:pPr>
              <w:spacing w:line="240" w:lineRule="auto"/>
              <w:ind w:left="36"/>
              <w:jc w:val="left"/>
              <w:rPr>
                <w:rFonts w:ascii="宋体" w:hAnsi="宋体" w:cs="宋体"/>
                <w:szCs w:val="21"/>
              </w:rPr>
            </w:pPr>
            <w:r>
              <w:rPr>
                <w:rFonts w:hint="eastAsia" w:ascii="宋体" w:hAnsi="宋体" w:cs="宋体"/>
                <w:szCs w:val="21"/>
              </w:rPr>
              <w:t>未按照规定及时报审或备案工程变更却在后期就此再提出不合理要求的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扣1分/次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1万/次</w:t>
            </w:r>
          </w:p>
        </w:tc>
        <w:tc>
          <w:tcPr>
            <w:tcW w:w="1285" w:type="dxa"/>
            <w:gridSpan w:val="2"/>
            <w:vAlign w:val="center"/>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1" w:type="dxa"/>
            <w:left w:w="71" w:type="dxa"/>
            <w:bottom w:w="0" w:type="dxa"/>
            <w:right w:w="108" w:type="dxa"/>
          </w:tblCellMar>
        </w:tblPrEx>
        <w:trPr>
          <w:gridBefore w:val="1"/>
          <w:wBefore w:w="15" w:type="dxa"/>
          <w:trHeight w:val="445"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35"/>
              <w:jc w:val="left"/>
              <w:rPr>
                <w:rFonts w:ascii="宋体" w:hAnsi="宋体" w:cs="宋体"/>
                <w:szCs w:val="21"/>
              </w:rPr>
            </w:pPr>
          </w:p>
        </w:tc>
        <w:tc>
          <w:tcPr>
            <w:tcW w:w="698" w:type="dxa"/>
            <w:vAlign w:val="center"/>
          </w:tcPr>
          <w:p>
            <w:pPr>
              <w:spacing w:line="240" w:lineRule="auto"/>
              <w:ind w:left="35"/>
              <w:jc w:val="left"/>
              <w:rPr>
                <w:rFonts w:ascii="宋体" w:hAnsi="宋体" w:cs="宋体"/>
                <w:szCs w:val="21"/>
              </w:rPr>
            </w:pPr>
            <w:r>
              <w:rPr>
                <w:rFonts w:hint="eastAsia" w:ascii="宋体" w:hAnsi="宋体" w:cs="宋体"/>
                <w:szCs w:val="21"/>
              </w:rPr>
              <w:t>4.1.5</w:t>
            </w:r>
          </w:p>
        </w:tc>
        <w:tc>
          <w:tcPr>
            <w:tcW w:w="3845" w:type="dxa"/>
            <w:vAlign w:val="center"/>
          </w:tcPr>
          <w:p>
            <w:pPr>
              <w:spacing w:line="240" w:lineRule="auto"/>
              <w:ind w:left="36"/>
              <w:jc w:val="left"/>
              <w:rPr>
                <w:rFonts w:ascii="宋体" w:hAnsi="宋体" w:cs="宋体"/>
                <w:szCs w:val="21"/>
              </w:rPr>
            </w:pPr>
            <w:r>
              <w:rPr>
                <w:rFonts w:hint="eastAsia" w:ascii="宋体" w:hAnsi="宋体" w:cs="宋体"/>
                <w:szCs w:val="21"/>
              </w:rPr>
              <w:t>未按照规定及时提供买保险的保单复印件的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扣0.5分/次</w:t>
            </w:r>
          </w:p>
        </w:tc>
        <w:tc>
          <w:tcPr>
            <w:tcW w:w="1205" w:type="dxa"/>
            <w:gridSpan w:val="4"/>
            <w:vAlign w:val="center"/>
          </w:tcPr>
          <w:p>
            <w:pPr>
              <w:spacing w:line="240" w:lineRule="auto"/>
              <w:jc w:val="left"/>
              <w:rPr>
                <w:rFonts w:ascii="宋体" w:hAnsi="宋体" w:cs="宋体"/>
                <w:szCs w:val="21"/>
              </w:rPr>
            </w:pPr>
            <w:r>
              <w:rPr>
                <w:rFonts w:hint="eastAsia" w:ascii="宋体" w:hAnsi="宋体" w:cs="宋体"/>
                <w:szCs w:val="21"/>
              </w:rPr>
              <w:t>5000元/次</w:t>
            </w:r>
          </w:p>
        </w:tc>
        <w:tc>
          <w:tcPr>
            <w:tcW w:w="1265" w:type="dxa"/>
            <w:vAlign w:val="center"/>
          </w:tcPr>
          <w:p>
            <w:pPr>
              <w:spacing w:line="240" w:lineRule="auto"/>
              <w:ind w:left="155"/>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1" w:type="dxa"/>
            <w:left w:w="71" w:type="dxa"/>
            <w:bottom w:w="0" w:type="dxa"/>
            <w:right w:w="108" w:type="dxa"/>
          </w:tblCellMar>
        </w:tblPrEx>
        <w:trPr>
          <w:gridBefore w:val="1"/>
          <w:wBefore w:w="15" w:type="dxa"/>
          <w:trHeight w:val="692"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35"/>
              <w:jc w:val="left"/>
              <w:rPr>
                <w:rFonts w:ascii="宋体" w:hAnsi="宋体" w:cs="宋体"/>
                <w:szCs w:val="21"/>
              </w:rPr>
            </w:pPr>
          </w:p>
        </w:tc>
        <w:tc>
          <w:tcPr>
            <w:tcW w:w="698" w:type="dxa"/>
            <w:vAlign w:val="center"/>
          </w:tcPr>
          <w:p>
            <w:pPr>
              <w:spacing w:line="240" w:lineRule="auto"/>
              <w:ind w:left="35"/>
              <w:jc w:val="left"/>
              <w:rPr>
                <w:rFonts w:ascii="宋体" w:hAnsi="宋体" w:cs="宋体"/>
                <w:szCs w:val="21"/>
              </w:rPr>
            </w:pPr>
            <w:r>
              <w:rPr>
                <w:rFonts w:hint="eastAsia" w:ascii="宋体" w:hAnsi="宋体" w:cs="宋体"/>
                <w:szCs w:val="21"/>
              </w:rPr>
              <w:t>4.1.6</w:t>
            </w:r>
          </w:p>
        </w:tc>
        <w:tc>
          <w:tcPr>
            <w:tcW w:w="3845" w:type="dxa"/>
            <w:vAlign w:val="center"/>
          </w:tcPr>
          <w:p>
            <w:pPr>
              <w:spacing w:line="240" w:lineRule="auto"/>
              <w:ind w:left="36"/>
              <w:jc w:val="left"/>
              <w:rPr>
                <w:rFonts w:ascii="宋体" w:hAnsi="宋体" w:cs="宋体"/>
                <w:szCs w:val="21"/>
              </w:rPr>
            </w:pPr>
            <w:r>
              <w:rPr>
                <w:rFonts w:hint="eastAsia" w:ascii="宋体" w:hAnsi="宋体" w:cs="宋体"/>
                <w:szCs w:val="21"/>
              </w:rPr>
              <w:t>不按规定及时向有关部门移交工程档案的，或未按规定及时向相关接收部门办理完成工程移交手续的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扣0.5分/次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5000元/次</w:t>
            </w:r>
          </w:p>
        </w:tc>
        <w:tc>
          <w:tcPr>
            <w:tcW w:w="1285" w:type="dxa"/>
            <w:gridSpan w:val="2"/>
            <w:vAlign w:val="center"/>
          </w:tcPr>
          <w:p>
            <w:pPr>
              <w:spacing w:line="240" w:lineRule="auto"/>
              <w:ind w:left="155"/>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1" w:type="dxa"/>
            <w:left w:w="71" w:type="dxa"/>
            <w:bottom w:w="0" w:type="dxa"/>
            <w:right w:w="108" w:type="dxa"/>
          </w:tblCellMar>
        </w:tblPrEx>
        <w:trPr>
          <w:gridBefore w:val="1"/>
          <w:wBefore w:w="15" w:type="dxa"/>
          <w:trHeight w:val="716"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35"/>
              <w:jc w:val="left"/>
              <w:rPr>
                <w:rFonts w:ascii="宋体" w:hAnsi="宋体" w:cs="宋体"/>
                <w:szCs w:val="21"/>
              </w:rPr>
            </w:pPr>
          </w:p>
        </w:tc>
        <w:tc>
          <w:tcPr>
            <w:tcW w:w="698" w:type="dxa"/>
            <w:vAlign w:val="center"/>
          </w:tcPr>
          <w:p>
            <w:pPr>
              <w:spacing w:line="240" w:lineRule="auto"/>
              <w:ind w:left="35"/>
              <w:jc w:val="left"/>
              <w:rPr>
                <w:rFonts w:ascii="宋体" w:hAnsi="宋体" w:cs="宋体"/>
                <w:szCs w:val="21"/>
              </w:rPr>
            </w:pPr>
            <w:r>
              <w:rPr>
                <w:rFonts w:hint="eastAsia" w:ascii="宋体" w:hAnsi="宋体" w:cs="宋体"/>
                <w:szCs w:val="21"/>
              </w:rPr>
              <w:t>4.1.7</w:t>
            </w:r>
          </w:p>
        </w:tc>
        <w:tc>
          <w:tcPr>
            <w:tcW w:w="3845" w:type="dxa"/>
            <w:vAlign w:val="center"/>
          </w:tcPr>
          <w:p>
            <w:pPr>
              <w:spacing w:line="240" w:lineRule="auto"/>
              <w:ind w:left="36"/>
              <w:jc w:val="left"/>
              <w:rPr>
                <w:rFonts w:ascii="宋体" w:hAnsi="宋体" w:cs="宋体"/>
                <w:szCs w:val="21"/>
              </w:rPr>
            </w:pPr>
            <w:r>
              <w:rPr>
                <w:rFonts w:hint="eastAsia" w:ascii="宋体" w:hAnsi="宋体" w:cs="宋体"/>
                <w:szCs w:val="21"/>
              </w:rPr>
              <w:t>工程出险后，承包人未按照规定及时报告造成保险不能索赔或索赔额不足的，或对出险现场未尽到及时抢险义务的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扣1分/次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1万/次</w:t>
            </w:r>
          </w:p>
        </w:tc>
        <w:tc>
          <w:tcPr>
            <w:tcW w:w="1285" w:type="dxa"/>
            <w:gridSpan w:val="2"/>
            <w:vAlign w:val="center"/>
          </w:tcPr>
          <w:p>
            <w:pPr>
              <w:spacing w:line="240" w:lineRule="auto"/>
              <w:ind w:left="3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1" w:type="dxa"/>
            <w:left w:w="71" w:type="dxa"/>
            <w:bottom w:w="0" w:type="dxa"/>
            <w:right w:w="108" w:type="dxa"/>
          </w:tblCellMar>
        </w:tblPrEx>
        <w:trPr>
          <w:gridBefore w:val="1"/>
          <w:wBefore w:w="15" w:type="dxa"/>
          <w:trHeight w:val="712"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35"/>
              <w:jc w:val="left"/>
              <w:rPr>
                <w:rFonts w:ascii="宋体" w:hAnsi="宋体" w:cs="宋体"/>
                <w:szCs w:val="21"/>
              </w:rPr>
            </w:pPr>
          </w:p>
        </w:tc>
        <w:tc>
          <w:tcPr>
            <w:tcW w:w="698" w:type="dxa"/>
            <w:vAlign w:val="center"/>
          </w:tcPr>
          <w:p>
            <w:pPr>
              <w:spacing w:line="240" w:lineRule="auto"/>
              <w:ind w:left="35"/>
              <w:jc w:val="left"/>
              <w:rPr>
                <w:rFonts w:ascii="宋体" w:hAnsi="宋体" w:cs="宋体"/>
                <w:szCs w:val="21"/>
              </w:rPr>
            </w:pPr>
            <w:r>
              <w:rPr>
                <w:rFonts w:hint="eastAsia" w:ascii="宋体" w:hAnsi="宋体" w:cs="宋体"/>
                <w:szCs w:val="21"/>
              </w:rPr>
              <w:t>4.1.8</w:t>
            </w:r>
          </w:p>
        </w:tc>
        <w:tc>
          <w:tcPr>
            <w:tcW w:w="3845" w:type="dxa"/>
            <w:vAlign w:val="center"/>
          </w:tcPr>
          <w:p>
            <w:pPr>
              <w:spacing w:line="240" w:lineRule="auto"/>
              <w:ind w:left="36"/>
              <w:jc w:val="left"/>
              <w:rPr>
                <w:rFonts w:ascii="宋体" w:hAnsi="宋体" w:cs="宋体"/>
                <w:szCs w:val="21"/>
              </w:rPr>
            </w:pPr>
            <w:r>
              <w:rPr>
                <w:rFonts w:hint="eastAsia" w:ascii="宋体" w:hAnsi="宋体" w:cs="宋体"/>
                <w:szCs w:val="21"/>
              </w:rPr>
              <w:t>未按照规定及时提供履约保函、续保或应购买的保险的保单复印件的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扣0.5分/次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5000元/次</w:t>
            </w:r>
          </w:p>
        </w:tc>
        <w:tc>
          <w:tcPr>
            <w:tcW w:w="1285" w:type="dxa"/>
            <w:gridSpan w:val="2"/>
            <w:vAlign w:val="center"/>
          </w:tcPr>
          <w:p>
            <w:pPr>
              <w:spacing w:line="240" w:lineRule="auto"/>
              <w:ind w:left="155"/>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1" w:type="dxa"/>
            <w:left w:w="71" w:type="dxa"/>
            <w:bottom w:w="0" w:type="dxa"/>
            <w:right w:w="108" w:type="dxa"/>
          </w:tblCellMar>
        </w:tblPrEx>
        <w:trPr>
          <w:gridBefore w:val="1"/>
          <w:wBefore w:w="15" w:type="dxa"/>
          <w:trHeight w:val="734"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35"/>
              <w:jc w:val="left"/>
              <w:rPr>
                <w:rFonts w:ascii="宋体" w:hAnsi="宋体" w:cs="宋体"/>
                <w:szCs w:val="21"/>
              </w:rPr>
            </w:pPr>
          </w:p>
        </w:tc>
        <w:tc>
          <w:tcPr>
            <w:tcW w:w="698" w:type="dxa"/>
            <w:vAlign w:val="center"/>
          </w:tcPr>
          <w:p>
            <w:pPr>
              <w:spacing w:line="240" w:lineRule="auto"/>
              <w:ind w:left="35"/>
              <w:jc w:val="left"/>
              <w:rPr>
                <w:rFonts w:ascii="宋体" w:hAnsi="宋体" w:cs="宋体"/>
                <w:szCs w:val="21"/>
              </w:rPr>
            </w:pPr>
            <w:r>
              <w:rPr>
                <w:rFonts w:hint="eastAsia" w:ascii="宋体" w:hAnsi="宋体" w:cs="宋体"/>
                <w:szCs w:val="21"/>
              </w:rPr>
              <w:t>4.1.9</w:t>
            </w:r>
          </w:p>
        </w:tc>
        <w:tc>
          <w:tcPr>
            <w:tcW w:w="3845" w:type="dxa"/>
            <w:vAlign w:val="center"/>
          </w:tcPr>
          <w:p>
            <w:pPr>
              <w:spacing w:line="240" w:lineRule="auto"/>
              <w:ind w:left="36"/>
              <w:jc w:val="left"/>
              <w:rPr>
                <w:rFonts w:ascii="宋体" w:hAnsi="宋体" w:cs="宋体"/>
                <w:szCs w:val="21"/>
              </w:rPr>
            </w:pPr>
            <w:r>
              <w:rPr>
                <w:rFonts w:hint="eastAsia" w:ascii="宋体" w:hAnsi="宋体" w:cs="宋体"/>
                <w:szCs w:val="21"/>
              </w:rPr>
              <w:t>不按规定及时向有关部门移交工程档案的，或未按规定及时向相关接收部门办理完成工程移交手续的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扣0.5分/次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5000元/次</w:t>
            </w:r>
          </w:p>
        </w:tc>
        <w:tc>
          <w:tcPr>
            <w:tcW w:w="1285" w:type="dxa"/>
            <w:gridSpan w:val="2"/>
            <w:vAlign w:val="center"/>
          </w:tcPr>
          <w:p>
            <w:pPr>
              <w:spacing w:line="240" w:lineRule="auto"/>
              <w:ind w:left="155"/>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1" w:type="dxa"/>
            <w:left w:w="71" w:type="dxa"/>
            <w:bottom w:w="0" w:type="dxa"/>
            <w:right w:w="108" w:type="dxa"/>
          </w:tblCellMar>
        </w:tblPrEx>
        <w:trPr>
          <w:gridBefore w:val="1"/>
          <w:wBefore w:w="15" w:type="dxa"/>
          <w:trHeight w:val="746"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40"/>
              <w:jc w:val="left"/>
              <w:rPr>
                <w:rFonts w:ascii="宋体" w:hAnsi="宋体" w:cs="宋体"/>
                <w:szCs w:val="21"/>
              </w:rPr>
            </w:pPr>
          </w:p>
        </w:tc>
        <w:tc>
          <w:tcPr>
            <w:tcW w:w="698" w:type="dxa"/>
            <w:vAlign w:val="center"/>
          </w:tcPr>
          <w:p>
            <w:pPr>
              <w:spacing w:line="240" w:lineRule="auto"/>
              <w:ind w:left="40"/>
              <w:jc w:val="left"/>
              <w:rPr>
                <w:rFonts w:ascii="宋体" w:hAnsi="宋体" w:cs="宋体"/>
                <w:szCs w:val="21"/>
              </w:rPr>
            </w:pPr>
            <w:r>
              <w:rPr>
                <w:rFonts w:hint="eastAsia" w:ascii="宋体" w:hAnsi="宋体" w:cs="宋体"/>
                <w:szCs w:val="21"/>
              </w:rPr>
              <w:t>4.1.10</w:t>
            </w:r>
          </w:p>
        </w:tc>
        <w:tc>
          <w:tcPr>
            <w:tcW w:w="3845" w:type="dxa"/>
            <w:vAlign w:val="center"/>
          </w:tcPr>
          <w:p>
            <w:pPr>
              <w:spacing w:line="240" w:lineRule="auto"/>
              <w:ind w:left="36"/>
              <w:jc w:val="left"/>
              <w:rPr>
                <w:rFonts w:ascii="宋体" w:hAnsi="宋体" w:cs="宋体"/>
                <w:szCs w:val="21"/>
              </w:rPr>
            </w:pPr>
            <w:r>
              <w:rPr>
                <w:rFonts w:hint="eastAsia" w:ascii="宋体" w:hAnsi="宋体" w:cs="宋体"/>
                <w:szCs w:val="21"/>
              </w:rPr>
              <w:t>工程出险后，承包人未按照规定及时报告造成保险不能索赔或索赔额不足的，或对出险现场未尽及时抢救义务的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扣1分/次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1万/次</w:t>
            </w:r>
          </w:p>
        </w:tc>
        <w:tc>
          <w:tcPr>
            <w:tcW w:w="1285" w:type="dxa"/>
            <w:gridSpan w:val="2"/>
            <w:vAlign w:val="center"/>
          </w:tcPr>
          <w:p>
            <w:pPr>
              <w:spacing w:line="240" w:lineRule="auto"/>
              <w:ind w:left="3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1" w:type="dxa"/>
            <w:left w:w="71" w:type="dxa"/>
            <w:bottom w:w="0" w:type="dxa"/>
            <w:right w:w="108" w:type="dxa"/>
          </w:tblCellMar>
        </w:tblPrEx>
        <w:trPr>
          <w:gridBefore w:val="1"/>
          <w:wBefore w:w="15" w:type="dxa"/>
          <w:trHeight w:val="826" w:hRule="atLeast"/>
        </w:trPr>
        <w:tc>
          <w:tcPr>
            <w:tcW w:w="351" w:type="dxa"/>
            <w:gridSpan w:val="2"/>
            <w:vMerge w:val="continue"/>
          </w:tcPr>
          <w:p>
            <w:pPr>
              <w:spacing w:line="240" w:lineRule="auto"/>
              <w:jc w:val="left"/>
              <w:rPr>
                <w:rFonts w:ascii="宋体" w:hAnsi="宋体" w:cs="宋体"/>
                <w:szCs w:val="21"/>
              </w:rPr>
            </w:pPr>
          </w:p>
        </w:tc>
        <w:tc>
          <w:tcPr>
            <w:tcW w:w="551" w:type="dxa"/>
            <w:vMerge w:val="restart"/>
            <w:vAlign w:val="center"/>
          </w:tcPr>
          <w:p>
            <w:pPr>
              <w:spacing w:line="240" w:lineRule="auto"/>
              <w:ind w:left="35"/>
              <w:jc w:val="left"/>
              <w:rPr>
                <w:rFonts w:ascii="宋体" w:hAnsi="宋体" w:cs="宋体"/>
                <w:szCs w:val="21"/>
              </w:rPr>
            </w:pPr>
          </w:p>
          <w:p>
            <w:pPr>
              <w:spacing w:line="240" w:lineRule="auto"/>
              <w:ind w:left="35"/>
              <w:jc w:val="left"/>
              <w:rPr>
                <w:rFonts w:ascii="宋体" w:hAnsi="宋体" w:cs="宋体"/>
                <w:szCs w:val="21"/>
              </w:rPr>
            </w:pPr>
          </w:p>
          <w:p>
            <w:pPr>
              <w:spacing w:line="240" w:lineRule="auto"/>
              <w:ind w:left="35"/>
              <w:jc w:val="left"/>
              <w:rPr>
                <w:rFonts w:ascii="宋体" w:hAnsi="宋体" w:cs="宋体"/>
                <w:szCs w:val="21"/>
              </w:rPr>
            </w:pPr>
          </w:p>
          <w:p>
            <w:pPr>
              <w:spacing w:line="240" w:lineRule="auto"/>
              <w:ind w:left="35"/>
              <w:jc w:val="left"/>
              <w:rPr>
                <w:rFonts w:ascii="宋体" w:hAnsi="宋体" w:cs="宋体"/>
                <w:szCs w:val="21"/>
              </w:rPr>
            </w:pPr>
          </w:p>
          <w:p>
            <w:pPr>
              <w:spacing w:line="240" w:lineRule="auto"/>
              <w:ind w:left="35"/>
              <w:jc w:val="left"/>
              <w:rPr>
                <w:rFonts w:ascii="宋体" w:hAnsi="宋体" w:cs="宋体"/>
                <w:szCs w:val="21"/>
              </w:rPr>
            </w:pPr>
          </w:p>
          <w:p>
            <w:pPr>
              <w:spacing w:line="240" w:lineRule="auto"/>
              <w:ind w:left="35"/>
              <w:jc w:val="left"/>
              <w:rPr>
                <w:rFonts w:ascii="宋体" w:hAnsi="宋体" w:cs="宋体"/>
                <w:szCs w:val="21"/>
              </w:rPr>
            </w:pPr>
          </w:p>
          <w:p>
            <w:pPr>
              <w:spacing w:line="240" w:lineRule="auto"/>
              <w:ind w:left="35"/>
              <w:jc w:val="left"/>
              <w:rPr>
                <w:rFonts w:ascii="宋体" w:hAnsi="宋体" w:cs="宋体"/>
                <w:szCs w:val="21"/>
              </w:rPr>
            </w:pPr>
            <w:r>
              <w:rPr>
                <w:rFonts w:hint="eastAsia" w:ascii="宋体" w:hAnsi="宋体" w:cs="宋体"/>
                <w:szCs w:val="21"/>
              </w:rPr>
              <w:t>工期要求</w:t>
            </w:r>
          </w:p>
        </w:tc>
        <w:tc>
          <w:tcPr>
            <w:tcW w:w="698" w:type="dxa"/>
            <w:vAlign w:val="center"/>
          </w:tcPr>
          <w:p>
            <w:pPr>
              <w:spacing w:line="240" w:lineRule="auto"/>
              <w:ind w:left="35"/>
              <w:jc w:val="left"/>
              <w:rPr>
                <w:rFonts w:ascii="宋体" w:hAnsi="宋体" w:cs="宋体"/>
                <w:szCs w:val="21"/>
              </w:rPr>
            </w:pPr>
            <w:r>
              <w:rPr>
                <w:rFonts w:hint="eastAsia" w:ascii="宋体" w:hAnsi="宋体" w:cs="宋体"/>
                <w:szCs w:val="21"/>
              </w:rPr>
              <w:t>4.2.1</w:t>
            </w:r>
          </w:p>
        </w:tc>
        <w:tc>
          <w:tcPr>
            <w:tcW w:w="3845" w:type="dxa"/>
            <w:vAlign w:val="center"/>
          </w:tcPr>
          <w:p>
            <w:pPr>
              <w:spacing w:line="240" w:lineRule="auto"/>
              <w:ind w:left="36"/>
              <w:jc w:val="left"/>
              <w:rPr>
                <w:rFonts w:ascii="宋体" w:hAnsi="宋体" w:cs="宋体"/>
                <w:szCs w:val="21"/>
              </w:rPr>
            </w:pPr>
            <w:r>
              <w:rPr>
                <w:rFonts w:hint="eastAsia" w:ascii="宋体" w:hAnsi="宋体" w:cs="宋体"/>
                <w:szCs w:val="21"/>
              </w:rPr>
              <w:t>未按照规定及时制定并报批各种进度计划的，或如需调整总进度计划时未提前报工程师审核批准的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扣0.5分/次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5000元/次</w:t>
            </w:r>
          </w:p>
        </w:tc>
        <w:tc>
          <w:tcPr>
            <w:tcW w:w="1285" w:type="dxa"/>
            <w:gridSpan w:val="2"/>
            <w:vAlign w:val="center"/>
          </w:tcPr>
          <w:p>
            <w:pPr>
              <w:spacing w:line="24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1" w:type="dxa"/>
            <w:left w:w="71" w:type="dxa"/>
            <w:bottom w:w="0" w:type="dxa"/>
            <w:right w:w="108" w:type="dxa"/>
          </w:tblCellMar>
        </w:tblPrEx>
        <w:trPr>
          <w:gridBefore w:val="1"/>
          <w:wBefore w:w="15" w:type="dxa"/>
          <w:trHeight w:val="988"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35"/>
              <w:jc w:val="left"/>
              <w:rPr>
                <w:rFonts w:ascii="宋体" w:hAnsi="宋体" w:cs="宋体"/>
                <w:szCs w:val="21"/>
              </w:rPr>
            </w:pPr>
          </w:p>
        </w:tc>
        <w:tc>
          <w:tcPr>
            <w:tcW w:w="698" w:type="dxa"/>
            <w:vAlign w:val="center"/>
          </w:tcPr>
          <w:p>
            <w:pPr>
              <w:spacing w:line="240" w:lineRule="auto"/>
              <w:ind w:left="35"/>
              <w:jc w:val="left"/>
              <w:rPr>
                <w:rFonts w:ascii="宋体" w:hAnsi="宋体" w:cs="宋体"/>
                <w:szCs w:val="21"/>
              </w:rPr>
            </w:pPr>
            <w:r>
              <w:rPr>
                <w:rFonts w:hint="eastAsia" w:ascii="宋体" w:hAnsi="宋体" w:cs="宋体"/>
                <w:szCs w:val="21"/>
              </w:rPr>
              <w:t>4.2.2</w:t>
            </w:r>
          </w:p>
        </w:tc>
        <w:tc>
          <w:tcPr>
            <w:tcW w:w="3845" w:type="dxa"/>
            <w:vAlign w:val="center"/>
          </w:tcPr>
          <w:p>
            <w:pPr>
              <w:spacing w:line="240" w:lineRule="auto"/>
              <w:ind w:left="36"/>
              <w:jc w:val="left"/>
              <w:rPr>
                <w:rFonts w:ascii="宋体" w:hAnsi="宋体" w:cs="宋体"/>
                <w:szCs w:val="21"/>
              </w:rPr>
            </w:pPr>
            <w:r>
              <w:rPr>
                <w:rFonts w:hint="eastAsia" w:ascii="宋体" w:hAnsi="宋体" w:cs="宋体"/>
                <w:szCs w:val="21"/>
              </w:rPr>
              <w:t>承包人原因造成实际进度对照投标承诺的工程进度计划或对照经发包人和监理审核批准的各类工程进度计划有拖延的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扣2分/天</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3000元/天</w:t>
            </w:r>
          </w:p>
        </w:tc>
        <w:tc>
          <w:tcPr>
            <w:tcW w:w="1285" w:type="dxa"/>
            <w:gridSpan w:val="2"/>
            <w:vAlign w:val="center"/>
          </w:tcPr>
          <w:p>
            <w:pPr>
              <w:spacing w:line="240" w:lineRule="auto"/>
              <w:ind w:left="3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1" w:type="dxa"/>
            <w:left w:w="71" w:type="dxa"/>
            <w:bottom w:w="0" w:type="dxa"/>
            <w:right w:w="108" w:type="dxa"/>
          </w:tblCellMar>
        </w:tblPrEx>
        <w:trPr>
          <w:gridBefore w:val="1"/>
          <w:wBefore w:w="15" w:type="dxa"/>
          <w:trHeight w:val="793"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35"/>
              <w:jc w:val="left"/>
              <w:rPr>
                <w:rFonts w:ascii="宋体" w:hAnsi="宋体" w:cs="宋体"/>
                <w:szCs w:val="21"/>
              </w:rPr>
            </w:pPr>
          </w:p>
        </w:tc>
        <w:tc>
          <w:tcPr>
            <w:tcW w:w="698" w:type="dxa"/>
            <w:vAlign w:val="center"/>
          </w:tcPr>
          <w:p>
            <w:pPr>
              <w:spacing w:line="240" w:lineRule="auto"/>
              <w:ind w:left="35"/>
              <w:jc w:val="left"/>
              <w:rPr>
                <w:rFonts w:ascii="宋体" w:hAnsi="宋体" w:cs="宋体"/>
                <w:szCs w:val="21"/>
              </w:rPr>
            </w:pPr>
            <w:r>
              <w:rPr>
                <w:rFonts w:hint="eastAsia" w:ascii="宋体" w:hAnsi="宋体" w:cs="宋体"/>
                <w:szCs w:val="21"/>
              </w:rPr>
              <w:t>4.2.3</w:t>
            </w:r>
          </w:p>
        </w:tc>
        <w:tc>
          <w:tcPr>
            <w:tcW w:w="3845" w:type="dxa"/>
            <w:vAlign w:val="center"/>
          </w:tcPr>
          <w:p>
            <w:pPr>
              <w:spacing w:line="240" w:lineRule="auto"/>
              <w:ind w:left="36"/>
              <w:jc w:val="left"/>
              <w:rPr>
                <w:rFonts w:ascii="宋体" w:hAnsi="宋体" w:cs="宋体"/>
                <w:szCs w:val="21"/>
              </w:rPr>
            </w:pPr>
            <w:r>
              <w:rPr>
                <w:rFonts w:hint="eastAsia" w:ascii="宋体" w:hAnsi="宋体" w:cs="宋体"/>
                <w:szCs w:val="21"/>
              </w:rPr>
              <w:t>出现工期严重延误被监理或发包人责令整改拒不整改或整改不到位造成不可挽回的后果的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扣2分/次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2万/次</w:t>
            </w:r>
          </w:p>
        </w:tc>
        <w:tc>
          <w:tcPr>
            <w:tcW w:w="1285" w:type="dxa"/>
            <w:gridSpan w:val="2"/>
            <w:vAlign w:val="center"/>
          </w:tcPr>
          <w:p>
            <w:pPr>
              <w:spacing w:line="240" w:lineRule="auto"/>
              <w:ind w:left="3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1" w:type="dxa"/>
            <w:left w:w="71" w:type="dxa"/>
            <w:bottom w:w="0" w:type="dxa"/>
            <w:right w:w="108" w:type="dxa"/>
          </w:tblCellMar>
        </w:tblPrEx>
        <w:trPr>
          <w:gridBefore w:val="1"/>
          <w:wBefore w:w="15" w:type="dxa"/>
          <w:trHeight w:val="339" w:hRule="atLeast"/>
        </w:trPr>
        <w:tc>
          <w:tcPr>
            <w:tcW w:w="351" w:type="dxa"/>
            <w:gridSpan w:val="2"/>
            <w:vMerge w:val="continue"/>
          </w:tcPr>
          <w:p>
            <w:pPr>
              <w:spacing w:line="240" w:lineRule="auto"/>
              <w:jc w:val="left"/>
              <w:rPr>
                <w:rFonts w:ascii="宋体" w:hAnsi="宋体" w:cs="宋体"/>
                <w:szCs w:val="21"/>
              </w:rPr>
            </w:pPr>
          </w:p>
        </w:tc>
        <w:tc>
          <w:tcPr>
            <w:tcW w:w="551" w:type="dxa"/>
            <w:vMerge w:val="continue"/>
          </w:tcPr>
          <w:p>
            <w:pPr>
              <w:spacing w:line="240" w:lineRule="auto"/>
              <w:ind w:left="35"/>
              <w:jc w:val="left"/>
              <w:rPr>
                <w:rFonts w:ascii="宋体" w:hAnsi="宋体" w:cs="宋体"/>
                <w:szCs w:val="21"/>
              </w:rPr>
            </w:pPr>
          </w:p>
        </w:tc>
        <w:tc>
          <w:tcPr>
            <w:tcW w:w="698" w:type="dxa"/>
          </w:tcPr>
          <w:p>
            <w:pPr>
              <w:spacing w:line="240" w:lineRule="auto"/>
              <w:ind w:left="35"/>
              <w:jc w:val="left"/>
              <w:rPr>
                <w:rFonts w:ascii="宋体" w:hAnsi="宋体" w:cs="宋体"/>
                <w:szCs w:val="21"/>
              </w:rPr>
            </w:pPr>
            <w:r>
              <w:rPr>
                <w:rFonts w:hint="eastAsia" w:ascii="宋体" w:hAnsi="宋体" w:cs="宋体"/>
                <w:szCs w:val="21"/>
              </w:rPr>
              <w:t>4.2.4</w:t>
            </w:r>
          </w:p>
        </w:tc>
        <w:tc>
          <w:tcPr>
            <w:tcW w:w="3845" w:type="dxa"/>
          </w:tcPr>
          <w:p>
            <w:pPr>
              <w:spacing w:line="240" w:lineRule="auto"/>
              <w:ind w:left="36"/>
              <w:jc w:val="left"/>
              <w:rPr>
                <w:rFonts w:ascii="宋体" w:hAnsi="宋体" w:cs="宋体"/>
                <w:szCs w:val="21"/>
              </w:rPr>
            </w:pPr>
            <w:r>
              <w:rPr>
                <w:rFonts w:hint="eastAsia" w:ascii="宋体" w:hAnsi="宋体" w:cs="宋体"/>
                <w:szCs w:val="21"/>
              </w:rPr>
              <w:t>由于承包人原因影响单项工程（或节点）工期的</w:t>
            </w:r>
          </w:p>
        </w:tc>
        <w:tc>
          <w:tcPr>
            <w:tcW w:w="1130" w:type="dxa"/>
          </w:tcPr>
          <w:p>
            <w:pPr>
              <w:spacing w:line="240" w:lineRule="auto"/>
              <w:jc w:val="left"/>
              <w:rPr>
                <w:rFonts w:ascii="宋体" w:hAnsi="宋体" w:cs="宋体"/>
                <w:szCs w:val="21"/>
              </w:rPr>
            </w:pPr>
            <w:r>
              <w:rPr>
                <w:rFonts w:hint="eastAsia" w:ascii="宋体" w:hAnsi="宋体" w:cs="宋体"/>
                <w:szCs w:val="21"/>
              </w:rPr>
              <w:t>扣2分/天</w:t>
            </w:r>
          </w:p>
        </w:tc>
        <w:tc>
          <w:tcPr>
            <w:tcW w:w="1185" w:type="dxa"/>
            <w:gridSpan w:val="3"/>
          </w:tcPr>
          <w:p>
            <w:pPr>
              <w:spacing w:line="240" w:lineRule="auto"/>
              <w:jc w:val="left"/>
              <w:rPr>
                <w:rFonts w:ascii="宋体" w:hAnsi="宋体" w:cs="宋体"/>
                <w:szCs w:val="21"/>
              </w:rPr>
            </w:pPr>
            <w:r>
              <w:rPr>
                <w:rFonts w:hint="eastAsia" w:ascii="宋体" w:hAnsi="宋体" w:cs="宋体"/>
                <w:szCs w:val="21"/>
              </w:rPr>
              <w:t>5000元/天</w:t>
            </w:r>
          </w:p>
        </w:tc>
        <w:tc>
          <w:tcPr>
            <w:tcW w:w="1285" w:type="dxa"/>
            <w:gridSpan w:val="2"/>
          </w:tcPr>
          <w:p>
            <w:pPr>
              <w:spacing w:line="240" w:lineRule="auto"/>
              <w:ind w:left="3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1" w:type="dxa"/>
            <w:left w:w="71" w:type="dxa"/>
            <w:bottom w:w="0" w:type="dxa"/>
            <w:right w:w="108" w:type="dxa"/>
          </w:tblCellMar>
        </w:tblPrEx>
        <w:trPr>
          <w:gridBefore w:val="1"/>
          <w:wBefore w:w="15" w:type="dxa"/>
          <w:trHeight w:val="1318"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35"/>
              <w:jc w:val="left"/>
              <w:rPr>
                <w:rFonts w:ascii="宋体" w:hAnsi="宋体" w:cs="宋体"/>
                <w:szCs w:val="21"/>
              </w:rPr>
            </w:pPr>
          </w:p>
        </w:tc>
        <w:tc>
          <w:tcPr>
            <w:tcW w:w="698" w:type="dxa"/>
            <w:vAlign w:val="center"/>
          </w:tcPr>
          <w:p>
            <w:pPr>
              <w:spacing w:line="240" w:lineRule="auto"/>
              <w:ind w:left="35"/>
              <w:jc w:val="left"/>
              <w:rPr>
                <w:rFonts w:ascii="宋体" w:hAnsi="宋体" w:cs="宋体"/>
                <w:szCs w:val="21"/>
              </w:rPr>
            </w:pPr>
            <w:r>
              <w:rPr>
                <w:rFonts w:hint="eastAsia" w:ascii="宋体" w:hAnsi="宋体" w:cs="宋体"/>
                <w:szCs w:val="21"/>
              </w:rPr>
              <w:t>4.2.5</w:t>
            </w:r>
          </w:p>
        </w:tc>
        <w:tc>
          <w:tcPr>
            <w:tcW w:w="3845" w:type="dxa"/>
            <w:vAlign w:val="center"/>
          </w:tcPr>
          <w:p>
            <w:pPr>
              <w:spacing w:line="240" w:lineRule="auto"/>
              <w:ind w:left="36"/>
              <w:jc w:val="left"/>
              <w:rPr>
                <w:rFonts w:ascii="宋体" w:hAnsi="宋体" w:cs="宋体"/>
                <w:szCs w:val="21"/>
              </w:rPr>
            </w:pPr>
            <w:r>
              <w:rPr>
                <w:rFonts w:hint="eastAsia" w:ascii="宋体" w:hAnsi="宋体" w:cs="宋体"/>
                <w:szCs w:val="21"/>
              </w:rPr>
              <w:t>未及时检查进度执行情况的，或发现进度拖延未及时采取有效措施纠偏的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扣1分/次</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1万/次</w:t>
            </w:r>
          </w:p>
        </w:tc>
        <w:tc>
          <w:tcPr>
            <w:tcW w:w="1285" w:type="dxa"/>
            <w:gridSpan w:val="2"/>
            <w:vAlign w:val="center"/>
          </w:tcPr>
          <w:p>
            <w:pPr>
              <w:spacing w:line="240" w:lineRule="auto"/>
              <w:ind w:left="3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1" w:type="dxa"/>
            <w:left w:w="71" w:type="dxa"/>
            <w:bottom w:w="0" w:type="dxa"/>
            <w:right w:w="108" w:type="dxa"/>
          </w:tblCellMar>
        </w:tblPrEx>
        <w:trPr>
          <w:gridBefore w:val="1"/>
          <w:wBefore w:w="15" w:type="dxa"/>
          <w:trHeight w:val="743" w:hRule="atLeast"/>
        </w:trPr>
        <w:tc>
          <w:tcPr>
            <w:tcW w:w="351" w:type="dxa"/>
            <w:gridSpan w:val="2"/>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35"/>
              <w:jc w:val="left"/>
              <w:rPr>
                <w:rFonts w:ascii="宋体" w:hAnsi="宋体" w:cs="宋体"/>
                <w:szCs w:val="21"/>
              </w:rPr>
            </w:pPr>
          </w:p>
        </w:tc>
        <w:tc>
          <w:tcPr>
            <w:tcW w:w="698" w:type="dxa"/>
            <w:vAlign w:val="center"/>
          </w:tcPr>
          <w:p>
            <w:pPr>
              <w:spacing w:line="240" w:lineRule="auto"/>
              <w:ind w:left="35"/>
              <w:jc w:val="left"/>
              <w:rPr>
                <w:rFonts w:ascii="宋体" w:hAnsi="宋体" w:cs="宋体"/>
                <w:szCs w:val="21"/>
              </w:rPr>
            </w:pPr>
            <w:r>
              <w:rPr>
                <w:rFonts w:hint="eastAsia" w:ascii="宋体" w:hAnsi="宋体" w:cs="宋体"/>
                <w:szCs w:val="21"/>
              </w:rPr>
              <w:t>4.2.6</w:t>
            </w:r>
          </w:p>
        </w:tc>
        <w:tc>
          <w:tcPr>
            <w:tcW w:w="3845" w:type="dxa"/>
            <w:vAlign w:val="center"/>
          </w:tcPr>
          <w:p>
            <w:pPr>
              <w:spacing w:line="240" w:lineRule="auto"/>
              <w:ind w:left="36"/>
              <w:jc w:val="left"/>
              <w:rPr>
                <w:rFonts w:ascii="宋体" w:hAnsi="宋体" w:cs="宋体"/>
                <w:szCs w:val="21"/>
              </w:rPr>
            </w:pPr>
            <w:r>
              <w:rPr>
                <w:rFonts w:hint="eastAsia" w:ascii="宋体" w:hAnsi="宋体" w:cs="宋体"/>
                <w:szCs w:val="21"/>
              </w:rPr>
              <w:t>承包人未按期开工，或具备施工条件，未按监理，发包人要求进场</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扣1分/天</w:t>
            </w:r>
          </w:p>
        </w:tc>
        <w:tc>
          <w:tcPr>
            <w:tcW w:w="1185" w:type="dxa"/>
            <w:gridSpan w:val="3"/>
            <w:vAlign w:val="center"/>
          </w:tcPr>
          <w:p>
            <w:pPr>
              <w:spacing w:line="240" w:lineRule="auto"/>
              <w:jc w:val="left"/>
              <w:rPr>
                <w:rFonts w:ascii="宋体" w:hAnsi="宋体" w:cs="宋体"/>
                <w:szCs w:val="21"/>
              </w:rPr>
            </w:pPr>
            <w:r>
              <w:rPr>
                <w:rFonts w:hint="eastAsia" w:ascii="宋体" w:hAnsi="宋体" w:cs="宋体"/>
                <w:szCs w:val="21"/>
              </w:rPr>
              <w:t>1万/天</w:t>
            </w:r>
          </w:p>
        </w:tc>
        <w:tc>
          <w:tcPr>
            <w:tcW w:w="1285" w:type="dxa"/>
            <w:gridSpan w:val="2"/>
            <w:vAlign w:val="center"/>
          </w:tcPr>
          <w:p>
            <w:pPr>
              <w:spacing w:line="240" w:lineRule="auto"/>
              <w:ind w:left="3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730" w:hRule="atLeast"/>
        </w:trPr>
        <w:tc>
          <w:tcPr>
            <w:tcW w:w="366" w:type="dxa"/>
            <w:gridSpan w:val="3"/>
            <w:vMerge w:val="restart"/>
            <w:vAlign w:val="center"/>
          </w:tcPr>
          <w:p>
            <w:pPr>
              <w:spacing w:line="240" w:lineRule="auto"/>
              <w:ind w:left="61"/>
              <w:jc w:val="left"/>
              <w:rPr>
                <w:rFonts w:ascii="宋体" w:hAnsi="宋体" w:cs="宋体"/>
                <w:szCs w:val="21"/>
              </w:rPr>
            </w:pPr>
            <w:r>
              <w:rPr>
                <w:rFonts w:hint="eastAsia" w:ascii="宋体" w:hAnsi="宋体" w:cs="宋体"/>
                <w:szCs w:val="21"/>
              </w:rPr>
              <w:t>五</w:t>
            </w:r>
          </w:p>
        </w:tc>
        <w:tc>
          <w:tcPr>
            <w:tcW w:w="551" w:type="dxa"/>
            <w:vMerge w:val="restart"/>
            <w:vAlign w:val="center"/>
          </w:tcPr>
          <w:p>
            <w:pPr>
              <w:spacing w:line="240" w:lineRule="auto"/>
              <w:ind w:left="51"/>
              <w:jc w:val="left"/>
              <w:rPr>
                <w:rFonts w:ascii="宋体" w:hAnsi="宋体" w:cs="宋体"/>
                <w:szCs w:val="21"/>
              </w:rPr>
            </w:pPr>
            <w:r>
              <w:rPr>
                <w:rFonts w:hint="eastAsia" w:ascii="宋体" w:hAnsi="宋体" w:cs="宋体"/>
                <w:szCs w:val="21"/>
              </w:rPr>
              <w:t>工程造价</w:t>
            </w: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5.1</w:t>
            </w:r>
          </w:p>
        </w:tc>
        <w:tc>
          <w:tcPr>
            <w:tcW w:w="3845" w:type="dxa"/>
          </w:tcPr>
          <w:p>
            <w:pPr>
              <w:spacing w:line="240" w:lineRule="auto"/>
              <w:ind w:left="55"/>
              <w:jc w:val="left"/>
              <w:rPr>
                <w:rFonts w:ascii="宋体" w:hAnsi="宋体" w:cs="宋体"/>
                <w:szCs w:val="21"/>
              </w:rPr>
            </w:pPr>
            <w:r>
              <w:rPr>
                <w:rFonts w:hint="eastAsia" w:ascii="宋体" w:hAnsi="宋体" w:cs="宋体"/>
                <w:szCs w:val="21"/>
              </w:rPr>
              <w:t>未根据企业自身情况合理报价，部分项目低于成本价竞标，中标后却拒绝实施或恶意变更或再提出增加合同价款要求的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扣3分/次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3万/次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730"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51"/>
              <w:jc w:val="left"/>
              <w:rPr>
                <w:rFonts w:ascii="宋体" w:hAnsi="宋体" w:cs="宋体"/>
                <w:szCs w:val="21"/>
              </w:rPr>
            </w:pP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5.2</w:t>
            </w:r>
          </w:p>
        </w:tc>
        <w:tc>
          <w:tcPr>
            <w:tcW w:w="3845" w:type="dxa"/>
          </w:tcPr>
          <w:p>
            <w:pPr>
              <w:spacing w:line="240" w:lineRule="auto"/>
              <w:ind w:left="55"/>
              <w:jc w:val="left"/>
              <w:rPr>
                <w:rFonts w:ascii="宋体" w:hAnsi="宋体" w:cs="宋体"/>
                <w:szCs w:val="21"/>
              </w:rPr>
            </w:pPr>
            <w:r>
              <w:rPr>
                <w:rFonts w:hint="eastAsia" w:ascii="宋体" w:hAnsi="宋体" w:cs="宋体"/>
                <w:szCs w:val="21"/>
              </w:rPr>
              <w:t>伪造虚假材料办理虚假工程设计变更的，或假借工程变更欺骗发包人、恶意磋商、胡搅蛮缠企图达到增加工程造价目的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扣4分/次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4万/次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509"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51"/>
              <w:jc w:val="left"/>
              <w:rPr>
                <w:rFonts w:ascii="宋体" w:hAnsi="宋体" w:cs="宋体"/>
                <w:szCs w:val="21"/>
              </w:rPr>
            </w:pP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5.3</w:t>
            </w:r>
          </w:p>
        </w:tc>
        <w:tc>
          <w:tcPr>
            <w:tcW w:w="3845" w:type="dxa"/>
          </w:tcPr>
          <w:p>
            <w:pPr>
              <w:spacing w:line="240" w:lineRule="auto"/>
              <w:ind w:left="55"/>
              <w:jc w:val="left"/>
              <w:rPr>
                <w:rFonts w:ascii="宋体" w:hAnsi="宋体" w:cs="宋体"/>
                <w:szCs w:val="21"/>
              </w:rPr>
            </w:pPr>
            <w:r>
              <w:rPr>
                <w:rFonts w:hint="eastAsia" w:ascii="宋体" w:hAnsi="宋体" w:cs="宋体"/>
                <w:szCs w:val="21"/>
              </w:rPr>
              <w:t>承包人拒绝施工过程中发生的任何设计变更，或拒绝完成变更工程内容施工的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扣1分/次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1万/次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646"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51"/>
              <w:jc w:val="left"/>
              <w:rPr>
                <w:rFonts w:ascii="宋体" w:hAnsi="宋体" w:cs="宋体"/>
                <w:szCs w:val="21"/>
              </w:rPr>
            </w:pP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5.4</w:t>
            </w:r>
          </w:p>
        </w:tc>
        <w:tc>
          <w:tcPr>
            <w:tcW w:w="3845" w:type="dxa"/>
            <w:vAlign w:val="center"/>
          </w:tcPr>
          <w:p>
            <w:pPr>
              <w:spacing w:line="240" w:lineRule="auto"/>
              <w:ind w:left="55"/>
              <w:jc w:val="left"/>
              <w:rPr>
                <w:rFonts w:ascii="宋体" w:hAnsi="宋体" w:cs="宋体"/>
                <w:szCs w:val="21"/>
              </w:rPr>
            </w:pPr>
            <w:r>
              <w:rPr>
                <w:rFonts w:hint="eastAsia" w:ascii="宋体" w:hAnsi="宋体" w:cs="宋体"/>
                <w:szCs w:val="21"/>
              </w:rPr>
              <w:t>不按规定确定暂估价的材料设备价格或专业工程价格的，或拒绝与招标确认的承包人签订总分包合同的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扣1分/次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1万/次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730"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51"/>
              <w:jc w:val="left"/>
              <w:rPr>
                <w:rFonts w:ascii="宋体" w:hAnsi="宋体" w:cs="宋体"/>
                <w:szCs w:val="21"/>
              </w:rPr>
            </w:pP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5.5</w:t>
            </w:r>
          </w:p>
        </w:tc>
        <w:tc>
          <w:tcPr>
            <w:tcW w:w="3845" w:type="dxa"/>
          </w:tcPr>
          <w:p>
            <w:pPr>
              <w:spacing w:line="240" w:lineRule="auto"/>
              <w:ind w:left="55"/>
              <w:jc w:val="left"/>
              <w:rPr>
                <w:rFonts w:ascii="宋体" w:hAnsi="宋体" w:cs="宋体"/>
                <w:szCs w:val="21"/>
              </w:rPr>
            </w:pPr>
            <w:r>
              <w:rPr>
                <w:rFonts w:hint="eastAsia" w:ascii="宋体" w:hAnsi="宋体" w:cs="宋体"/>
                <w:szCs w:val="21"/>
              </w:rPr>
              <w:t>未积极配合发包人对暂估价的材料、设备进行市场询价的，或在询价过程中欺骗发包人企图达到增加工程造价目的的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扣1分/次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1万/次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490"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51"/>
              <w:jc w:val="left"/>
              <w:rPr>
                <w:rFonts w:ascii="宋体" w:hAnsi="宋体" w:cs="宋体"/>
                <w:szCs w:val="21"/>
              </w:rPr>
            </w:pP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5.6</w:t>
            </w:r>
          </w:p>
        </w:tc>
        <w:tc>
          <w:tcPr>
            <w:tcW w:w="3845" w:type="dxa"/>
          </w:tcPr>
          <w:p>
            <w:pPr>
              <w:spacing w:line="240" w:lineRule="auto"/>
              <w:ind w:left="55"/>
              <w:jc w:val="left"/>
              <w:rPr>
                <w:rFonts w:ascii="宋体" w:hAnsi="宋体" w:cs="宋体"/>
                <w:szCs w:val="21"/>
              </w:rPr>
            </w:pPr>
            <w:r>
              <w:rPr>
                <w:rFonts w:hint="eastAsia" w:ascii="宋体" w:hAnsi="宋体" w:cs="宋体"/>
                <w:szCs w:val="21"/>
              </w:rPr>
              <w:t>未按规定程序或其他政府投资工程管理规定报审或备案工程发生变更的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扣1分/次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1万/次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730"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51"/>
              <w:jc w:val="left"/>
              <w:rPr>
                <w:rFonts w:ascii="宋体" w:hAnsi="宋体" w:cs="宋体"/>
                <w:szCs w:val="21"/>
              </w:rPr>
            </w:pP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5.7</w:t>
            </w:r>
          </w:p>
        </w:tc>
        <w:tc>
          <w:tcPr>
            <w:tcW w:w="3845" w:type="dxa"/>
          </w:tcPr>
          <w:p>
            <w:pPr>
              <w:spacing w:line="240" w:lineRule="auto"/>
              <w:ind w:left="55"/>
              <w:jc w:val="left"/>
              <w:rPr>
                <w:rFonts w:ascii="宋体" w:hAnsi="宋体" w:cs="宋体"/>
                <w:szCs w:val="21"/>
              </w:rPr>
            </w:pPr>
            <w:r>
              <w:rPr>
                <w:rFonts w:hint="eastAsia" w:ascii="宋体" w:hAnsi="宋体" w:cs="宋体"/>
                <w:szCs w:val="21"/>
              </w:rPr>
              <w:t>不按合同约定编审施工进度造价文件、工程变更造价文件或工程结算造价文件的，或不执行现行有关工程量计算规则的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扣1分/次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1万/次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490"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51"/>
              <w:jc w:val="left"/>
              <w:rPr>
                <w:rFonts w:ascii="宋体" w:hAnsi="宋体" w:cs="宋体"/>
                <w:szCs w:val="21"/>
              </w:rPr>
            </w:pP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5.8</w:t>
            </w:r>
          </w:p>
        </w:tc>
        <w:tc>
          <w:tcPr>
            <w:tcW w:w="3845" w:type="dxa"/>
          </w:tcPr>
          <w:p>
            <w:pPr>
              <w:spacing w:line="240" w:lineRule="auto"/>
              <w:ind w:left="55"/>
              <w:jc w:val="left"/>
              <w:rPr>
                <w:rFonts w:ascii="宋体" w:hAnsi="宋体" w:cs="宋体"/>
                <w:szCs w:val="21"/>
              </w:rPr>
            </w:pPr>
            <w:r>
              <w:rPr>
                <w:rFonts w:hint="eastAsia" w:ascii="宋体" w:hAnsi="宋体" w:cs="宋体"/>
                <w:szCs w:val="21"/>
              </w:rPr>
              <w:t>编审的工程造价成果文件有明显错误或有明显虚报，造成与发包人（或审计局）审核的总造价偏差超过5%</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扣1分/次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1万/次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653" w:hRule="atLeast"/>
        </w:trPr>
        <w:tc>
          <w:tcPr>
            <w:tcW w:w="366" w:type="dxa"/>
            <w:gridSpan w:val="3"/>
            <w:vMerge w:val="restart"/>
            <w:vAlign w:val="center"/>
          </w:tcPr>
          <w:p>
            <w:pPr>
              <w:spacing w:line="240" w:lineRule="auto"/>
              <w:jc w:val="left"/>
              <w:rPr>
                <w:rFonts w:ascii="宋体" w:hAnsi="宋体" w:cs="宋体"/>
                <w:szCs w:val="21"/>
              </w:rPr>
            </w:pPr>
            <w:r>
              <w:rPr>
                <w:rFonts w:hint="eastAsia" w:ascii="宋体" w:hAnsi="宋体" w:cs="宋体"/>
                <w:szCs w:val="21"/>
              </w:rPr>
              <w:t>六</w:t>
            </w:r>
          </w:p>
        </w:tc>
        <w:tc>
          <w:tcPr>
            <w:tcW w:w="551" w:type="dxa"/>
            <w:vMerge w:val="restart"/>
            <w:vAlign w:val="center"/>
          </w:tcPr>
          <w:p>
            <w:pPr>
              <w:spacing w:line="240" w:lineRule="auto"/>
              <w:ind w:left="51"/>
              <w:jc w:val="left"/>
              <w:rPr>
                <w:rFonts w:ascii="宋体" w:hAnsi="宋体" w:cs="宋体"/>
                <w:szCs w:val="21"/>
              </w:rPr>
            </w:pPr>
            <w:r>
              <w:rPr>
                <w:rFonts w:hint="eastAsia" w:ascii="宋体" w:hAnsi="宋体" w:cs="宋体"/>
                <w:szCs w:val="21"/>
              </w:rPr>
              <w:t>工程总分包</w:t>
            </w: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6.1</w:t>
            </w:r>
          </w:p>
        </w:tc>
        <w:tc>
          <w:tcPr>
            <w:tcW w:w="3845" w:type="dxa"/>
            <w:vAlign w:val="center"/>
          </w:tcPr>
          <w:p>
            <w:pPr>
              <w:spacing w:line="240" w:lineRule="auto"/>
              <w:ind w:left="55"/>
              <w:jc w:val="left"/>
              <w:rPr>
                <w:rFonts w:ascii="宋体" w:hAnsi="宋体" w:cs="宋体"/>
                <w:szCs w:val="21"/>
              </w:rPr>
            </w:pPr>
            <w:r>
              <w:rPr>
                <w:rFonts w:hint="eastAsia" w:ascii="宋体" w:hAnsi="宋体" w:cs="宋体"/>
                <w:szCs w:val="21"/>
              </w:rPr>
              <w:t>未按规定分包工程，或分包合同未报发包人备案的，或其他违法分包工程的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扣1分/次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1万/次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577"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51"/>
              <w:jc w:val="left"/>
              <w:rPr>
                <w:rFonts w:ascii="宋体" w:hAnsi="宋体" w:cs="宋体"/>
                <w:szCs w:val="21"/>
              </w:rPr>
            </w:pP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6.2</w:t>
            </w:r>
          </w:p>
        </w:tc>
        <w:tc>
          <w:tcPr>
            <w:tcW w:w="3845" w:type="dxa"/>
          </w:tcPr>
          <w:p>
            <w:pPr>
              <w:spacing w:line="240" w:lineRule="auto"/>
              <w:ind w:left="55"/>
              <w:jc w:val="left"/>
              <w:rPr>
                <w:rFonts w:ascii="宋体" w:hAnsi="宋体" w:cs="宋体"/>
                <w:szCs w:val="21"/>
              </w:rPr>
            </w:pPr>
            <w:r>
              <w:rPr>
                <w:rFonts w:hint="eastAsia" w:ascii="宋体" w:hAnsi="宋体" w:cs="宋体"/>
                <w:szCs w:val="21"/>
              </w:rPr>
              <w:t>违反合同约定拖欠工程款受到投诉的，或经相关政府主管部门催告或通报仍不清偿的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扣1分/次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1万/次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490"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51"/>
              <w:jc w:val="left"/>
              <w:rPr>
                <w:rFonts w:ascii="宋体" w:hAnsi="宋体" w:cs="宋体"/>
                <w:szCs w:val="21"/>
              </w:rPr>
            </w:pP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6.3</w:t>
            </w:r>
          </w:p>
        </w:tc>
        <w:tc>
          <w:tcPr>
            <w:tcW w:w="3845" w:type="dxa"/>
          </w:tcPr>
          <w:p>
            <w:pPr>
              <w:spacing w:line="240" w:lineRule="auto"/>
              <w:ind w:left="55"/>
              <w:jc w:val="left"/>
              <w:rPr>
                <w:rFonts w:ascii="宋体" w:hAnsi="宋体" w:cs="宋体"/>
                <w:szCs w:val="21"/>
              </w:rPr>
            </w:pPr>
            <w:r>
              <w:rPr>
                <w:rFonts w:hint="eastAsia" w:ascii="宋体" w:hAnsi="宋体" w:cs="宋体"/>
                <w:szCs w:val="21"/>
              </w:rPr>
              <w:t>拖欠工人工资受到投诉的，或经发包人或其他相关政府部门催告或通报仍不清偿的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扣2分/次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2万/次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730" w:hRule="atLeast"/>
        </w:trPr>
        <w:tc>
          <w:tcPr>
            <w:tcW w:w="366" w:type="dxa"/>
            <w:gridSpan w:val="3"/>
            <w:vMerge w:val="restart"/>
            <w:vAlign w:val="center"/>
          </w:tcPr>
          <w:p>
            <w:pPr>
              <w:spacing w:line="240" w:lineRule="auto"/>
              <w:jc w:val="left"/>
              <w:rPr>
                <w:rFonts w:ascii="宋体" w:hAnsi="宋体" w:cs="宋体"/>
                <w:szCs w:val="21"/>
              </w:rPr>
            </w:pPr>
            <w:r>
              <w:rPr>
                <w:rFonts w:hint="eastAsia" w:ascii="宋体" w:hAnsi="宋体" w:cs="宋体"/>
                <w:szCs w:val="21"/>
              </w:rPr>
              <w:t>七</w:t>
            </w:r>
          </w:p>
        </w:tc>
        <w:tc>
          <w:tcPr>
            <w:tcW w:w="551" w:type="dxa"/>
            <w:vMerge w:val="restart"/>
            <w:vAlign w:val="center"/>
          </w:tcPr>
          <w:p>
            <w:pPr>
              <w:spacing w:line="240" w:lineRule="auto"/>
              <w:ind w:left="51"/>
              <w:jc w:val="left"/>
              <w:rPr>
                <w:rFonts w:ascii="宋体" w:hAnsi="宋体" w:cs="宋体"/>
                <w:szCs w:val="21"/>
              </w:rPr>
            </w:pPr>
            <w:r>
              <w:rPr>
                <w:rFonts w:hint="eastAsia" w:ascii="宋体" w:hAnsi="宋体" w:cs="宋体"/>
                <w:szCs w:val="21"/>
              </w:rPr>
              <w:t>工程资料</w:t>
            </w: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7.1</w:t>
            </w:r>
          </w:p>
        </w:tc>
        <w:tc>
          <w:tcPr>
            <w:tcW w:w="3845" w:type="dxa"/>
          </w:tcPr>
          <w:p>
            <w:pPr>
              <w:spacing w:line="240" w:lineRule="auto"/>
              <w:ind w:left="55"/>
              <w:jc w:val="left"/>
              <w:rPr>
                <w:rFonts w:ascii="宋体" w:hAnsi="宋体" w:cs="宋体"/>
                <w:szCs w:val="21"/>
              </w:rPr>
            </w:pPr>
            <w:r>
              <w:rPr>
                <w:rFonts w:hint="eastAsia" w:ascii="宋体" w:hAnsi="宋体" w:cs="宋体"/>
                <w:szCs w:val="21"/>
              </w:rPr>
              <w:t>未按档案管理要求制定资料文件管理、归档制度的，或不按发包人或档案管理要求报送各种资料、数据或证明材料的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扣0.5分/次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5000元/次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490"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51"/>
              <w:jc w:val="left"/>
              <w:rPr>
                <w:rFonts w:ascii="宋体" w:hAnsi="宋体" w:cs="宋体"/>
                <w:szCs w:val="21"/>
              </w:rPr>
            </w:pP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7.2</w:t>
            </w:r>
          </w:p>
        </w:tc>
        <w:tc>
          <w:tcPr>
            <w:tcW w:w="3845" w:type="dxa"/>
          </w:tcPr>
          <w:p>
            <w:pPr>
              <w:spacing w:line="240" w:lineRule="auto"/>
              <w:ind w:left="55"/>
              <w:jc w:val="left"/>
              <w:rPr>
                <w:rFonts w:ascii="宋体" w:hAnsi="宋体" w:cs="宋体"/>
                <w:szCs w:val="21"/>
              </w:rPr>
            </w:pPr>
            <w:r>
              <w:rPr>
                <w:rFonts w:hint="eastAsia" w:ascii="宋体" w:hAnsi="宋体" w:cs="宋体"/>
                <w:szCs w:val="21"/>
              </w:rPr>
              <w:t>伪造或提供虚假检测报告或其他工程建设相关文件、资料造成严重后果或恶劣影响的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扣1分/次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1万/次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490"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51"/>
              <w:jc w:val="left"/>
              <w:rPr>
                <w:rFonts w:ascii="宋体" w:hAnsi="宋体" w:cs="宋体"/>
                <w:szCs w:val="21"/>
              </w:rPr>
            </w:pP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7.3</w:t>
            </w:r>
          </w:p>
        </w:tc>
        <w:tc>
          <w:tcPr>
            <w:tcW w:w="3845" w:type="dxa"/>
          </w:tcPr>
          <w:p>
            <w:pPr>
              <w:spacing w:line="240" w:lineRule="auto"/>
              <w:ind w:left="55"/>
              <w:jc w:val="left"/>
              <w:rPr>
                <w:rFonts w:ascii="宋体" w:hAnsi="宋体" w:cs="宋体"/>
                <w:szCs w:val="21"/>
              </w:rPr>
            </w:pPr>
            <w:r>
              <w:rPr>
                <w:rFonts w:hint="eastAsia" w:ascii="宋体" w:hAnsi="宋体" w:cs="宋体"/>
                <w:szCs w:val="21"/>
              </w:rPr>
              <w:t>不按规定向有关部门移交工程档案的，或移交的资料不完整齐全的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扣0.5分/次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5000元/次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490"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51"/>
              <w:jc w:val="left"/>
              <w:rPr>
                <w:rFonts w:ascii="宋体" w:hAnsi="宋体" w:cs="宋体"/>
                <w:szCs w:val="21"/>
              </w:rPr>
            </w:pP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7.4</w:t>
            </w:r>
          </w:p>
        </w:tc>
        <w:tc>
          <w:tcPr>
            <w:tcW w:w="3845" w:type="dxa"/>
          </w:tcPr>
          <w:p>
            <w:pPr>
              <w:spacing w:line="240" w:lineRule="auto"/>
              <w:ind w:left="55"/>
              <w:jc w:val="left"/>
              <w:rPr>
                <w:rFonts w:ascii="宋体" w:hAnsi="宋体" w:cs="宋体"/>
                <w:szCs w:val="21"/>
              </w:rPr>
            </w:pPr>
            <w:r>
              <w:rPr>
                <w:rFonts w:hint="eastAsia" w:ascii="宋体" w:hAnsi="宋体" w:cs="宋体"/>
                <w:szCs w:val="21"/>
              </w:rPr>
              <w:t>施工过程资料不完善的，或归档不规范的，或质保资料与工程施工不同步的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扣0.5分/次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5000元/次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490" w:hRule="atLeast"/>
        </w:trPr>
        <w:tc>
          <w:tcPr>
            <w:tcW w:w="366" w:type="dxa"/>
            <w:gridSpan w:val="3"/>
            <w:vMerge w:val="restart"/>
            <w:vAlign w:val="center"/>
          </w:tcPr>
          <w:p>
            <w:pPr>
              <w:spacing w:line="240" w:lineRule="auto"/>
              <w:jc w:val="left"/>
              <w:rPr>
                <w:rFonts w:ascii="宋体" w:hAnsi="宋体" w:cs="宋体"/>
                <w:szCs w:val="21"/>
              </w:rPr>
            </w:pPr>
            <w:r>
              <w:rPr>
                <w:rFonts w:hint="eastAsia" w:ascii="宋体" w:hAnsi="宋体" w:cs="宋体"/>
                <w:szCs w:val="21"/>
              </w:rPr>
              <w:t>八</w:t>
            </w:r>
          </w:p>
        </w:tc>
        <w:tc>
          <w:tcPr>
            <w:tcW w:w="551" w:type="dxa"/>
            <w:vMerge w:val="restart"/>
            <w:vAlign w:val="center"/>
          </w:tcPr>
          <w:p>
            <w:pPr>
              <w:spacing w:line="240" w:lineRule="auto"/>
              <w:ind w:left="51"/>
              <w:jc w:val="left"/>
              <w:rPr>
                <w:rFonts w:ascii="宋体" w:hAnsi="宋体" w:cs="宋体"/>
                <w:szCs w:val="21"/>
              </w:rPr>
            </w:pPr>
            <w:r>
              <w:rPr>
                <w:rFonts w:hint="eastAsia" w:ascii="宋体" w:hAnsi="宋体" w:cs="宋体"/>
                <w:szCs w:val="21"/>
              </w:rPr>
              <w:t>配合协调</w:t>
            </w: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8.1</w:t>
            </w:r>
          </w:p>
        </w:tc>
        <w:tc>
          <w:tcPr>
            <w:tcW w:w="3845" w:type="dxa"/>
          </w:tcPr>
          <w:p>
            <w:pPr>
              <w:spacing w:line="240" w:lineRule="auto"/>
              <w:ind w:left="55"/>
              <w:jc w:val="left"/>
              <w:rPr>
                <w:rFonts w:ascii="宋体" w:hAnsi="宋体" w:cs="宋体"/>
                <w:szCs w:val="21"/>
              </w:rPr>
            </w:pPr>
            <w:r>
              <w:rPr>
                <w:rFonts w:hint="eastAsia" w:ascii="宋体" w:hAnsi="宋体" w:cs="宋体"/>
                <w:szCs w:val="21"/>
              </w:rPr>
              <w:t>对发包人或主管单位的调查取证、监督检查等活动不予配合的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扣0.5分/次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5000元/次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490"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51"/>
              <w:jc w:val="left"/>
              <w:rPr>
                <w:rFonts w:ascii="宋体" w:hAnsi="宋体" w:cs="宋体"/>
                <w:szCs w:val="21"/>
              </w:rPr>
            </w:pP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8.2</w:t>
            </w:r>
          </w:p>
        </w:tc>
        <w:tc>
          <w:tcPr>
            <w:tcW w:w="3845" w:type="dxa"/>
          </w:tcPr>
          <w:p>
            <w:pPr>
              <w:spacing w:line="240" w:lineRule="auto"/>
              <w:ind w:left="55"/>
              <w:jc w:val="left"/>
              <w:rPr>
                <w:rFonts w:ascii="宋体" w:hAnsi="宋体" w:cs="宋体"/>
                <w:szCs w:val="21"/>
              </w:rPr>
            </w:pPr>
            <w:r>
              <w:rPr>
                <w:rFonts w:hint="eastAsia" w:ascii="宋体" w:hAnsi="宋体" w:cs="宋体"/>
                <w:szCs w:val="21"/>
              </w:rPr>
              <w:t>不服从发包人和主管部门监督管理，干扰、影响发包人和主管部门正常办公，影响工程建设正常进行的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扣1分/次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1万/次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580"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51"/>
              <w:jc w:val="left"/>
              <w:rPr>
                <w:rFonts w:ascii="宋体" w:hAnsi="宋体" w:cs="宋体"/>
                <w:szCs w:val="21"/>
              </w:rPr>
            </w:pP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8.3</w:t>
            </w:r>
          </w:p>
        </w:tc>
        <w:tc>
          <w:tcPr>
            <w:tcW w:w="3845" w:type="dxa"/>
          </w:tcPr>
          <w:p>
            <w:pPr>
              <w:spacing w:line="240" w:lineRule="auto"/>
              <w:ind w:left="55"/>
              <w:jc w:val="left"/>
              <w:rPr>
                <w:rFonts w:ascii="宋体" w:hAnsi="宋体" w:cs="宋体"/>
                <w:szCs w:val="21"/>
              </w:rPr>
            </w:pPr>
            <w:r>
              <w:rPr>
                <w:rFonts w:hint="eastAsia" w:ascii="宋体" w:hAnsi="宋体" w:cs="宋体"/>
                <w:szCs w:val="21"/>
              </w:rPr>
              <w:t>不积极配合造价咨询单位的造价审核及审计单位的结算与决算审计工作的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扣0.5分/次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5000元/次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780"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51"/>
              <w:jc w:val="left"/>
              <w:rPr>
                <w:rFonts w:ascii="宋体" w:hAnsi="宋体" w:cs="宋体"/>
                <w:szCs w:val="21"/>
              </w:rPr>
            </w:pP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8.4</w:t>
            </w:r>
          </w:p>
        </w:tc>
        <w:tc>
          <w:tcPr>
            <w:tcW w:w="3845" w:type="dxa"/>
          </w:tcPr>
          <w:p>
            <w:pPr>
              <w:spacing w:line="240" w:lineRule="auto"/>
              <w:ind w:left="55"/>
              <w:jc w:val="left"/>
              <w:rPr>
                <w:rFonts w:ascii="宋体" w:hAnsi="宋体" w:cs="宋体"/>
                <w:szCs w:val="21"/>
              </w:rPr>
            </w:pPr>
            <w:r>
              <w:rPr>
                <w:rFonts w:hint="eastAsia" w:ascii="宋体" w:hAnsi="宋体" w:cs="宋体"/>
                <w:szCs w:val="21"/>
              </w:rPr>
              <w:t>工程出险后未报告的，或对出险现场未尽抢险和临时看管义务，或对发包人或发包人的保险顾问未尽到配合义务的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扣0.5分/次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5000元/次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586"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51"/>
              <w:jc w:val="left"/>
              <w:rPr>
                <w:rFonts w:ascii="宋体" w:hAnsi="宋体" w:cs="宋体"/>
                <w:szCs w:val="21"/>
              </w:rPr>
            </w:pP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8.5</w:t>
            </w:r>
          </w:p>
        </w:tc>
        <w:tc>
          <w:tcPr>
            <w:tcW w:w="3845" w:type="dxa"/>
          </w:tcPr>
          <w:p>
            <w:pPr>
              <w:spacing w:line="240" w:lineRule="auto"/>
              <w:ind w:left="55"/>
              <w:jc w:val="left"/>
              <w:rPr>
                <w:rFonts w:ascii="宋体" w:hAnsi="宋体" w:cs="宋体"/>
                <w:szCs w:val="21"/>
              </w:rPr>
            </w:pPr>
            <w:r>
              <w:rPr>
                <w:rFonts w:hint="eastAsia" w:ascii="宋体" w:hAnsi="宋体" w:cs="宋体"/>
                <w:szCs w:val="21"/>
              </w:rPr>
              <w:t>发包方书面要求承包人法定代表人面谈的，承包人法定代表人未及时按发包人要求的时间地点参加面谈</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扣1分/次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1万/次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 w:type="dxa"/>
            <w:left w:w="47" w:type="dxa"/>
            <w:bottom w:w="0" w:type="dxa"/>
            <w:right w:w="107" w:type="dxa"/>
          </w:tblCellMar>
        </w:tblPrEx>
        <w:trPr>
          <w:trHeight w:val="557"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left="51"/>
              <w:jc w:val="left"/>
              <w:rPr>
                <w:rFonts w:ascii="宋体" w:hAnsi="宋体" w:cs="宋体"/>
                <w:szCs w:val="21"/>
              </w:rPr>
            </w:pPr>
          </w:p>
        </w:tc>
        <w:tc>
          <w:tcPr>
            <w:tcW w:w="698" w:type="dxa"/>
            <w:vAlign w:val="center"/>
          </w:tcPr>
          <w:p>
            <w:pPr>
              <w:spacing w:line="240" w:lineRule="auto"/>
              <w:ind w:left="51"/>
              <w:jc w:val="left"/>
              <w:rPr>
                <w:rFonts w:ascii="宋体" w:hAnsi="宋体" w:cs="宋体"/>
                <w:szCs w:val="21"/>
              </w:rPr>
            </w:pPr>
            <w:r>
              <w:rPr>
                <w:rFonts w:hint="eastAsia" w:ascii="宋体" w:hAnsi="宋体" w:cs="宋体"/>
                <w:szCs w:val="21"/>
              </w:rPr>
              <w:t>8.6</w:t>
            </w:r>
          </w:p>
        </w:tc>
        <w:tc>
          <w:tcPr>
            <w:tcW w:w="3845" w:type="dxa"/>
          </w:tcPr>
          <w:p>
            <w:pPr>
              <w:spacing w:line="240" w:lineRule="auto"/>
              <w:ind w:left="55"/>
              <w:jc w:val="left"/>
              <w:rPr>
                <w:rFonts w:ascii="宋体" w:hAnsi="宋体" w:cs="宋体"/>
                <w:szCs w:val="21"/>
              </w:rPr>
            </w:pPr>
            <w:r>
              <w:rPr>
                <w:rFonts w:hint="eastAsia" w:ascii="宋体" w:hAnsi="宋体" w:cs="宋体"/>
                <w:szCs w:val="21"/>
              </w:rPr>
              <w:t>承包人未及时确定电力电信迁改实施单位，或未做好电力电信迁改工程进度安排影响主体工程实施</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扣0.5分/次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5000元/次</w:t>
            </w:r>
          </w:p>
        </w:tc>
        <w:tc>
          <w:tcPr>
            <w:tcW w:w="1295" w:type="dxa"/>
            <w:gridSpan w:val="3"/>
            <w:vAlign w:val="center"/>
          </w:tcPr>
          <w:p>
            <w:pPr>
              <w:spacing w:line="240" w:lineRule="auto"/>
              <w:ind w:left="27"/>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08" w:type="dxa"/>
            <w:bottom w:w="0" w:type="dxa"/>
            <w:right w:w="106" w:type="dxa"/>
          </w:tblCellMar>
        </w:tblPrEx>
        <w:trPr>
          <w:trHeight w:val="490" w:hRule="atLeast"/>
        </w:trPr>
        <w:tc>
          <w:tcPr>
            <w:tcW w:w="366" w:type="dxa"/>
            <w:gridSpan w:val="3"/>
            <w:vMerge w:val="restart"/>
            <w:vAlign w:val="center"/>
          </w:tcPr>
          <w:p>
            <w:pPr>
              <w:spacing w:line="240" w:lineRule="auto"/>
              <w:jc w:val="left"/>
              <w:rPr>
                <w:rFonts w:ascii="宋体" w:hAnsi="宋体" w:cs="宋体"/>
                <w:szCs w:val="21"/>
              </w:rPr>
            </w:pPr>
            <w:r>
              <w:rPr>
                <w:rFonts w:hint="eastAsia" w:ascii="宋体" w:hAnsi="宋体" w:cs="宋体"/>
                <w:szCs w:val="21"/>
              </w:rPr>
              <w:t>九</w:t>
            </w:r>
          </w:p>
        </w:tc>
        <w:tc>
          <w:tcPr>
            <w:tcW w:w="551" w:type="dxa"/>
            <w:vMerge w:val="restart"/>
            <w:vAlign w:val="center"/>
          </w:tcPr>
          <w:p>
            <w:pPr>
              <w:spacing w:line="240" w:lineRule="auto"/>
              <w:ind w:right="1"/>
              <w:jc w:val="left"/>
              <w:rPr>
                <w:rFonts w:ascii="宋体" w:hAnsi="宋体" w:cs="宋体"/>
                <w:szCs w:val="21"/>
              </w:rPr>
            </w:pPr>
            <w:r>
              <w:rPr>
                <w:rFonts w:hint="eastAsia" w:ascii="宋体" w:hAnsi="宋体" w:cs="宋体"/>
                <w:szCs w:val="21"/>
              </w:rPr>
              <w:t>其他</w:t>
            </w:r>
          </w:p>
        </w:tc>
        <w:tc>
          <w:tcPr>
            <w:tcW w:w="698" w:type="dxa"/>
            <w:vAlign w:val="center"/>
          </w:tcPr>
          <w:p>
            <w:pPr>
              <w:spacing w:line="240" w:lineRule="auto"/>
              <w:ind w:right="1"/>
              <w:jc w:val="left"/>
              <w:rPr>
                <w:rFonts w:ascii="宋体" w:hAnsi="宋体" w:cs="宋体"/>
                <w:szCs w:val="21"/>
              </w:rPr>
            </w:pPr>
            <w:r>
              <w:rPr>
                <w:rFonts w:hint="eastAsia" w:ascii="宋体" w:hAnsi="宋体" w:cs="宋体"/>
                <w:szCs w:val="21"/>
              </w:rPr>
              <w:t>9.1</w:t>
            </w:r>
          </w:p>
        </w:tc>
        <w:tc>
          <w:tcPr>
            <w:tcW w:w="3845" w:type="dxa"/>
          </w:tcPr>
          <w:p>
            <w:pPr>
              <w:spacing w:line="240" w:lineRule="auto"/>
              <w:jc w:val="left"/>
              <w:rPr>
                <w:rFonts w:ascii="宋体" w:hAnsi="宋体" w:cs="宋体"/>
                <w:szCs w:val="21"/>
              </w:rPr>
            </w:pPr>
            <w:r>
              <w:rPr>
                <w:rFonts w:hint="eastAsia" w:ascii="宋体" w:hAnsi="宋体" w:cs="宋体"/>
                <w:szCs w:val="21"/>
              </w:rPr>
              <w:t>未按规定签订“施工合同”、“工程建设廉政合同”、“安全生产责任书”或“守法用工承诺书”</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扣2分/项</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2万/项</w:t>
            </w:r>
          </w:p>
        </w:tc>
        <w:tc>
          <w:tcPr>
            <w:tcW w:w="1295" w:type="dxa"/>
            <w:gridSpan w:val="3"/>
            <w:vAlign w:val="center"/>
          </w:tcPr>
          <w:p>
            <w:pPr>
              <w:spacing w:line="240" w:lineRule="auto"/>
              <w:ind w:right="1"/>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08" w:type="dxa"/>
            <w:bottom w:w="0" w:type="dxa"/>
            <w:right w:w="106" w:type="dxa"/>
          </w:tblCellMar>
        </w:tblPrEx>
        <w:trPr>
          <w:trHeight w:val="499"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right="1"/>
              <w:jc w:val="left"/>
              <w:rPr>
                <w:rFonts w:ascii="宋体" w:hAnsi="宋体" w:cs="宋体"/>
                <w:szCs w:val="21"/>
              </w:rPr>
            </w:pPr>
          </w:p>
        </w:tc>
        <w:tc>
          <w:tcPr>
            <w:tcW w:w="698" w:type="dxa"/>
            <w:vAlign w:val="center"/>
          </w:tcPr>
          <w:p>
            <w:pPr>
              <w:spacing w:line="240" w:lineRule="auto"/>
              <w:ind w:right="1"/>
              <w:jc w:val="left"/>
              <w:rPr>
                <w:rFonts w:ascii="宋体" w:hAnsi="宋体" w:cs="宋体"/>
                <w:szCs w:val="21"/>
              </w:rPr>
            </w:pPr>
            <w:r>
              <w:rPr>
                <w:rFonts w:hint="eastAsia" w:ascii="宋体" w:hAnsi="宋体" w:cs="宋体"/>
                <w:szCs w:val="21"/>
              </w:rPr>
              <w:t>9.2</w:t>
            </w:r>
          </w:p>
        </w:tc>
        <w:tc>
          <w:tcPr>
            <w:tcW w:w="3845" w:type="dxa"/>
          </w:tcPr>
          <w:p>
            <w:pPr>
              <w:spacing w:line="240" w:lineRule="auto"/>
              <w:jc w:val="left"/>
              <w:rPr>
                <w:rFonts w:ascii="宋体" w:hAnsi="宋体" w:cs="宋体"/>
                <w:szCs w:val="21"/>
              </w:rPr>
            </w:pPr>
            <w:r>
              <w:rPr>
                <w:rFonts w:hint="eastAsia" w:ascii="宋体" w:hAnsi="宋体" w:cs="宋体"/>
                <w:szCs w:val="21"/>
              </w:rPr>
              <w:t>因承包人的原因未能及时支付农民工工资，造成农民工到发包单位闹事的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扣2分/次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罚违约金2万/次</w:t>
            </w:r>
          </w:p>
        </w:tc>
        <w:tc>
          <w:tcPr>
            <w:tcW w:w="1295" w:type="dxa"/>
            <w:gridSpan w:val="3"/>
            <w:vAlign w:val="center"/>
          </w:tcPr>
          <w:p>
            <w:pPr>
              <w:spacing w:line="240" w:lineRule="auto"/>
              <w:ind w:right="1"/>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08" w:type="dxa"/>
            <w:bottom w:w="0" w:type="dxa"/>
            <w:right w:w="106" w:type="dxa"/>
          </w:tblCellMar>
        </w:tblPrEx>
        <w:trPr>
          <w:trHeight w:val="730"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right="1"/>
              <w:jc w:val="left"/>
              <w:rPr>
                <w:rFonts w:ascii="宋体" w:hAnsi="宋体" w:cs="宋体"/>
                <w:szCs w:val="21"/>
              </w:rPr>
            </w:pPr>
          </w:p>
        </w:tc>
        <w:tc>
          <w:tcPr>
            <w:tcW w:w="698" w:type="dxa"/>
            <w:vAlign w:val="center"/>
          </w:tcPr>
          <w:p>
            <w:pPr>
              <w:spacing w:line="240" w:lineRule="auto"/>
              <w:ind w:right="1"/>
              <w:jc w:val="left"/>
              <w:rPr>
                <w:rFonts w:ascii="宋体" w:hAnsi="宋体" w:cs="宋体"/>
                <w:szCs w:val="21"/>
              </w:rPr>
            </w:pPr>
            <w:r>
              <w:rPr>
                <w:rFonts w:hint="eastAsia" w:ascii="宋体" w:hAnsi="宋体" w:cs="宋体"/>
                <w:szCs w:val="21"/>
              </w:rPr>
              <w:t>9.3</w:t>
            </w:r>
          </w:p>
        </w:tc>
        <w:tc>
          <w:tcPr>
            <w:tcW w:w="3845" w:type="dxa"/>
          </w:tcPr>
          <w:p>
            <w:pPr>
              <w:spacing w:line="240" w:lineRule="auto"/>
              <w:jc w:val="left"/>
              <w:rPr>
                <w:rFonts w:ascii="宋体" w:hAnsi="宋体" w:cs="宋体"/>
                <w:szCs w:val="21"/>
              </w:rPr>
            </w:pPr>
            <w:r>
              <w:rPr>
                <w:rFonts w:hint="eastAsia" w:ascii="宋体" w:hAnsi="宋体" w:cs="宋体"/>
                <w:szCs w:val="21"/>
              </w:rPr>
              <w:t>承包人投保标准不足或保险合同未持续有效或投保保单未报发包人备案或承包人不服从发包人的保险顾问的监督和管理的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扣0.5分/次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5000元/次</w:t>
            </w:r>
          </w:p>
        </w:tc>
        <w:tc>
          <w:tcPr>
            <w:tcW w:w="1295" w:type="dxa"/>
            <w:gridSpan w:val="3"/>
            <w:vAlign w:val="center"/>
          </w:tcPr>
          <w:p>
            <w:pPr>
              <w:spacing w:line="240" w:lineRule="auto"/>
              <w:ind w:left="146"/>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08" w:type="dxa"/>
            <w:bottom w:w="0" w:type="dxa"/>
            <w:right w:w="106" w:type="dxa"/>
          </w:tblCellMar>
        </w:tblPrEx>
        <w:trPr>
          <w:trHeight w:val="490"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right="1"/>
              <w:jc w:val="left"/>
              <w:rPr>
                <w:rFonts w:ascii="宋体" w:hAnsi="宋体" w:cs="宋体"/>
                <w:szCs w:val="21"/>
              </w:rPr>
            </w:pPr>
          </w:p>
        </w:tc>
        <w:tc>
          <w:tcPr>
            <w:tcW w:w="698" w:type="dxa"/>
            <w:vAlign w:val="center"/>
          </w:tcPr>
          <w:p>
            <w:pPr>
              <w:spacing w:line="240" w:lineRule="auto"/>
              <w:ind w:right="1"/>
              <w:jc w:val="left"/>
              <w:rPr>
                <w:rFonts w:ascii="宋体" w:hAnsi="宋体" w:cs="宋体"/>
                <w:szCs w:val="21"/>
              </w:rPr>
            </w:pPr>
            <w:r>
              <w:rPr>
                <w:rFonts w:hint="eastAsia" w:ascii="宋体" w:hAnsi="宋体" w:cs="宋体"/>
                <w:szCs w:val="21"/>
              </w:rPr>
              <w:t>9.4</w:t>
            </w:r>
          </w:p>
        </w:tc>
        <w:tc>
          <w:tcPr>
            <w:tcW w:w="3845" w:type="dxa"/>
          </w:tcPr>
          <w:p>
            <w:pPr>
              <w:spacing w:line="240" w:lineRule="auto"/>
              <w:jc w:val="left"/>
              <w:rPr>
                <w:rFonts w:ascii="宋体" w:hAnsi="宋体" w:cs="宋体"/>
                <w:szCs w:val="21"/>
              </w:rPr>
            </w:pPr>
            <w:r>
              <w:rPr>
                <w:rFonts w:hint="eastAsia" w:ascii="宋体" w:hAnsi="宋体" w:cs="宋体"/>
                <w:szCs w:val="21"/>
              </w:rPr>
              <w:t>由于承包人原因受到报纸、电视等媒体曝光或政府相关部门的通报批评的</w:t>
            </w:r>
          </w:p>
        </w:tc>
        <w:tc>
          <w:tcPr>
            <w:tcW w:w="1130" w:type="dxa"/>
            <w:vAlign w:val="center"/>
          </w:tcPr>
          <w:p>
            <w:pPr>
              <w:spacing w:line="240" w:lineRule="auto"/>
              <w:jc w:val="left"/>
              <w:rPr>
                <w:rFonts w:ascii="宋体" w:hAnsi="宋体" w:cs="宋体"/>
                <w:szCs w:val="21"/>
              </w:rPr>
            </w:pPr>
            <w:r>
              <w:rPr>
                <w:rFonts w:hint="eastAsia" w:ascii="宋体" w:hAnsi="宋体" w:cs="宋体"/>
                <w:szCs w:val="21"/>
              </w:rPr>
              <w:t>扣2分/次</w:t>
            </w:r>
          </w:p>
        </w:tc>
        <w:tc>
          <w:tcPr>
            <w:tcW w:w="1175" w:type="dxa"/>
            <w:gridSpan w:val="2"/>
            <w:vAlign w:val="center"/>
          </w:tcPr>
          <w:p>
            <w:pPr>
              <w:spacing w:line="240" w:lineRule="auto"/>
              <w:jc w:val="left"/>
              <w:rPr>
                <w:rFonts w:ascii="宋体" w:hAnsi="宋体" w:cs="宋体"/>
                <w:szCs w:val="21"/>
              </w:rPr>
            </w:pPr>
            <w:r>
              <w:rPr>
                <w:rFonts w:hint="eastAsia" w:ascii="宋体" w:hAnsi="宋体" w:cs="宋体"/>
                <w:szCs w:val="21"/>
              </w:rPr>
              <w:t>5000元-2万/次</w:t>
            </w:r>
          </w:p>
        </w:tc>
        <w:tc>
          <w:tcPr>
            <w:tcW w:w="1295" w:type="dxa"/>
            <w:gridSpan w:val="3"/>
            <w:vAlign w:val="center"/>
          </w:tcPr>
          <w:p>
            <w:pPr>
              <w:spacing w:line="240" w:lineRule="auto"/>
              <w:ind w:right="1"/>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08" w:type="dxa"/>
            <w:bottom w:w="0" w:type="dxa"/>
            <w:right w:w="106" w:type="dxa"/>
          </w:tblCellMar>
        </w:tblPrEx>
        <w:trPr>
          <w:trHeight w:val="562" w:hRule="atLeast"/>
        </w:trPr>
        <w:tc>
          <w:tcPr>
            <w:tcW w:w="366" w:type="dxa"/>
            <w:gridSpan w:val="3"/>
            <w:vMerge w:val="restart"/>
            <w:vAlign w:val="center"/>
          </w:tcPr>
          <w:p>
            <w:pPr>
              <w:spacing w:line="240" w:lineRule="auto"/>
              <w:jc w:val="left"/>
              <w:rPr>
                <w:rFonts w:ascii="宋体" w:hAnsi="宋体" w:cs="宋体"/>
                <w:szCs w:val="21"/>
              </w:rPr>
            </w:pPr>
            <w:r>
              <w:rPr>
                <w:rFonts w:hint="eastAsia" w:ascii="宋体" w:hAnsi="宋体" w:cs="宋体"/>
                <w:szCs w:val="21"/>
              </w:rPr>
              <w:t>十</w:t>
            </w:r>
          </w:p>
        </w:tc>
        <w:tc>
          <w:tcPr>
            <w:tcW w:w="551" w:type="dxa"/>
            <w:vMerge w:val="restart"/>
            <w:vAlign w:val="center"/>
          </w:tcPr>
          <w:p>
            <w:pPr>
              <w:spacing w:line="240" w:lineRule="auto"/>
              <w:ind w:right="1"/>
              <w:jc w:val="left"/>
              <w:rPr>
                <w:rFonts w:ascii="宋体" w:hAnsi="宋体" w:cs="宋体"/>
                <w:szCs w:val="21"/>
              </w:rPr>
            </w:pPr>
            <w:r>
              <w:rPr>
                <w:rFonts w:hint="eastAsia" w:ascii="宋体" w:hAnsi="宋体" w:cs="宋体"/>
                <w:szCs w:val="21"/>
              </w:rPr>
              <w:t>直接判定为履约不合格的十种情况</w:t>
            </w:r>
          </w:p>
        </w:tc>
        <w:tc>
          <w:tcPr>
            <w:tcW w:w="698" w:type="dxa"/>
            <w:vAlign w:val="center"/>
          </w:tcPr>
          <w:p>
            <w:pPr>
              <w:spacing w:line="240" w:lineRule="auto"/>
              <w:ind w:right="1"/>
              <w:jc w:val="left"/>
              <w:rPr>
                <w:rFonts w:ascii="宋体" w:hAnsi="宋体" w:cs="宋体"/>
                <w:szCs w:val="21"/>
              </w:rPr>
            </w:pPr>
            <w:r>
              <w:rPr>
                <w:rFonts w:hint="eastAsia" w:ascii="宋体" w:hAnsi="宋体" w:cs="宋体"/>
                <w:szCs w:val="21"/>
              </w:rPr>
              <w:t>10.1</w:t>
            </w:r>
          </w:p>
        </w:tc>
        <w:tc>
          <w:tcPr>
            <w:tcW w:w="3845" w:type="dxa"/>
            <w:vAlign w:val="center"/>
          </w:tcPr>
          <w:p>
            <w:pPr>
              <w:spacing w:line="240" w:lineRule="auto"/>
              <w:jc w:val="left"/>
              <w:rPr>
                <w:rFonts w:ascii="宋体" w:hAnsi="宋体" w:cs="宋体"/>
                <w:szCs w:val="21"/>
              </w:rPr>
            </w:pPr>
            <w:r>
              <w:rPr>
                <w:rFonts w:hint="eastAsia" w:ascii="宋体" w:hAnsi="宋体" w:cs="宋体"/>
                <w:szCs w:val="21"/>
              </w:rPr>
              <w:t>转包、挂靠工程的</w:t>
            </w:r>
          </w:p>
        </w:tc>
        <w:tc>
          <w:tcPr>
            <w:tcW w:w="1130" w:type="dxa"/>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175" w:type="dxa"/>
            <w:gridSpan w:val="2"/>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295" w:type="dxa"/>
            <w:gridSpan w:val="3"/>
            <w:vAlign w:val="center"/>
          </w:tcPr>
          <w:p>
            <w:pPr>
              <w:spacing w:line="240" w:lineRule="auto"/>
              <w:ind w:right="2"/>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08" w:type="dxa"/>
            <w:bottom w:w="0" w:type="dxa"/>
            <w:right w:w="106" w:type="dxa"/>
          </w:tblCellMar>
        </w:tblPrEx>
        <w:trPr>
          <w:trHeight w:val="562"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right="1"/>
              <w:jc w:val="left"/>
              <w:rPr>
                <w:rFonts w:ascii="宋体" w:hAnsi="宋体" w:cs="宋体"/>
                <w:szCs w:val="21"/>
              </w:rPr>
            </w:pPr>
          </w:p>
        </w:tc>
        <w:tc>
          <w:tcPr>
            <w:tcW w:w="698" w:type="dxa"/>
            <w:vAlign w:val="center"/>
          </w:tcPr>
          <w:p>
            <w:pPr>
              <w:spacing w:line="240" w:lineRule="auto"/>
              <w:ind w:right="1"/>
              <w:jc w:val="left"/>
              <w:rPr>
                <w:rFonts w:ascii="宋体" w:hAnsi="宋体" w:cs="宋体"/>
                <w:szCs w:val="21"/>
              </w:rPr>
            </w:pPr>
            <w:r>
              <w:rPr>
                <w:rFonts w:hint="eastAsia" w:ascii="宋体" w:hAnsi="宋体" w:cs="宋体"/>
                <w:szCs w:val="21"/>
              </w:rPr>
              <w:t>10.2</w:t>
            </w:r>
          </w:p>
        </w:tc>
        <w:tc>
          <w:tcPr>
            <w:tcW w:w="3845" w:type="dxa"/>
          </w:tcPr>
          <w:p>
            <w:pPr>
              <w:spacing w:line="240" w:lineRule="auto"/>
              <w:jc w:val="left"/>
              <w:rPr>
                <w:rFonts w:ascii="宋体" w:hAnsi="宋体" w:cs="宋体"/>
                <w:szCs w:val="21"/>
              </w:rPr>
            </w:pPr>
            <w:r>
              <w:rPr>
                <w:rFonts w:hint="eastAsia" w:ascii="宋体" w:hAnsi="宋体" w:cs="宋体"/>
                <w:szCs w:val="21"/>
              </w:rPr>
              <w:t>拒不参加或以各种理由拖延参加发包人通知的抢险救灾及应急工作的</w:t>
            </w:r>
          </w:p>
        </w:tc>
        <w:tc>
          <w:tcPr>
            <w:tcW w:w="1130" w:type="dxa"/>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175" w:type="dxa"/>
            <w:gridSpan w:val="2"/>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295" w:type="dxa"/>
            <w:gridSpan w:val="3"/>
            <w:vAlign w:val="center"/>
          </w:tcPr>
          <w:p>
            <w:pPr>
              <w:spacing w:line="240" w:lineRule="auto"/>
              <w:ind w:right="2"/>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08" w:type="dxa"/>
            <w:bottom w:w="0" w:type="dxa"/>
            <w:right w:w="106" w:type="dxa"/>
          </w:tblCellMar>
        </w:tblPrEx>
        <w:trPr>
          <w:trHeight w:val="562"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right="1"/>
              <w:jc w:val="left"/>
              <w:rPr>
                <w:rFonts w:ascii="宋体" w:hAnsi="宋体" w:cs="宋体"/>
                <w:szCs w:val="21"/>
              </w:rPr>
            </w:pPr>
          </w:p>
        </w:tc>
        <w:tc>
          <w:tcPr>
            <w:tcW w:w="698" w:type="dxa"/>
            <w:vAlign w:val="center"/>
          </w:tcPr>
          <w:p>
            <w:pPr>
              <w:spacing w:line="240" w:lineRule="auto"/>
              <w:ind w:right="1"/>
              <w:jc w:val="left"/>
              <w:rPr>
                <w:rFonts w:ascii="宋体" w:hAnsi="宋体" w:cs="宋体"/>
                <w:szCs w:val="21"/>
              </w:rPr>
            </w:pPr>
            <w:r>
              <w:rPr>
                <w:rFonts w:hint="eastAsia" w:ascii="宋体" w:hAnsi="宋体" w:cs="宋体"/>
                <w:szCs w:val="21"/>
              </w:rPr>
              <w:t>10.3</w:t>
            </w:r>
          </w:p>
        </w:tc>
        <w:tc>
          <w:tcPr>
            <w:tcW w:w="3845" w:type="dxa"/>
          </w:tcPr>
          <w:p>
            <w:pPr>
              <w:spacing w:line="240" w:lineRule="auto"/>
              <w:jc w:val="left"/>
              <w:rPr>
                <w:rFonts w:ascii="宋体" w:hAnsi="宋体" w:cs="宋体"/>
                <w:szCs w:val="21"/>
              </w:rPr>
            </w:pPr>
            <w:r>
              <w:rPr>
                <w:rFonts w:hint="eastAsia" w:ascii="宋体" w:hAnsi="宋体" w:cs="宋体"/>
                <w:szCs w:val="21"/>
              </w:rPr>
              <w:t>违反执业规范或职业道德，弄虚作假，或串通损害他人利益造成严重后果或恶劣影响的</w:t>
            </w:r>
          </w:p>
        </w:tc>
        <w:tc>
          <w:tcPr>
            <w:tcW w:w="1130" w:type="dxa"/>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175" w:type="dxa"/>
            <w:gridSpan w:val="2"/>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295" w:type="dxa"/>
            <w:gridSpan w:val="3"/>
            <w:vAlign w:val="center"/>
          </w:tcPr>
          <w:p>
            <w:pPr>
              <w:spacing w:line="240" w:lineRule="auto"/>
              <w:ind w:right="2"/>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08" w:type="dxa"/>
            <w:bottom w:w="0" w:type="dxa"/>
            <w:right w:w="106" w:type="dxa"/>
          </w:tblCellMar>
        </w:tblPrEx>
        <w:trPr>
          <w:trHeight w:val="730"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right="1"/>
              <w:jc w:val="left"/>
              <w:rPr>
                <w:rFonts w:ascii="宋体" w:hAnsi="宋体" w:cs="宋体"/>
                <w:szCs w:val="21"/>
              </w:rPr>
            </w:pPr>
          </w:p>
        </w:tc>
        <w:tc>
          <w:tcPr>
            <w:tcW w:w="698" w:type="dxa"/>
            <w:vAlign w:val="center"/>
          </w:tcPr>
          <w:p>
            <w:pPr>
              <w:spacing w:line="240" w:lineRule="auto"/>
              <w:ind w:right="1"/>
              <w:jc w:val="left"/>
              <w:rPr>
                <w:rFonts w:ascii="宋体" w:hAnsi="宋体" w:cs="宋体"/>
                <w:szCs w:val="21"/>
              </w:rPr>
            </w:pPr>
            <w:r>
              <w:rPr>
                <w:rFonts w:hint="eastAsia" w:ascii="宋体" w:hAnsi="宋体" w:cs="宋体"/>
                <w:szCs w:val="21"/>
              </w:rPr>
              <w:t>10.4</w:t>
            </w:r>
          </w:p>
        </w:tc>
        <w:tc>
          <w:tcPr>
            <w:tcW w:w="3845" w:type="dxa"/>
          </w:tcPr>
          <w:p>
            <w:pPr>
              <w:spacing w:line="240" w:lineRule="auto"/>
              <w:jc w:val="left"/>
              <w:rPr>
                <w:rFonts w:ascii="宋体" w:hAnsi="宋体" w:cs="宋体"/>
                <w:szCs w:val="21"/>
              </w:rPr>
            </w:pPr>
            <w:r>
              <w:rPr>
                <w:rFonts w:hint="eastAsia" w:ascii="宋体" w:hAnsi="宋体" w:cs="宋体"/>
                <w:szCs w:val="21"/>
              </w:rPr>
              <w:t>以暴力或其他手段妨碍发包人行使权利义务，或以暴力或其他手段妨碍国家工作人员执行公务，或扰乱社会正常秩序的</w:t>
            </w:r>
          </w:p>
        </w:tc>
        <w:tc>
          <w:tcPr>
            <w:tcW w:w="1130" w:type="dxa"/>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175" w:type="dxa"/>
            <w:gridSpan w:val="2"/>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295" w:type="dxa"/>
            <w:gridSpan w:val="3"/>
            <w:vAlign w:val="center"/>
          </w:tcPr>
          <w:p>
            <w:pPr>
              <w:spacing w:line="240" w:lineRule="auto"/>
              <w:ind w:right="2"/>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08" w:type="dxa"/>
            <w:bottom w:w="0" w:type="dxa"/>
            <w:right w:w="106" w:type="dxa"/>
          </w:tblCellMar>
        </w:tblPrEx>
        <w:trPr>
          <w:trHeight w:val="562"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right="1"/>
              <w:jc w:val="left"/>
              <w:rPr>
                <w:rFonts w:ascii="宋体" w:hAnsi="宋体" w:cs="宋体"/>
                <w:szCs w:val="21"/>
              </w:rPr>
            </w:pPr>
          </w:p>
        </w:tc>
        <w:tc>
          <w:tcPr>
            <w:tcW w:w="698" w:type="dxa"/>
            <w:vAlign w:val="center"/>
          </w:tcPr>
          <w:p>
            <w:pPr>
              <w:spacing w:line="240" w:lineRule="auto"/>
              <w:ind w:right="1"/>
              <w:jc w:val="left"/>
              <w:rPr>
                <w:rFonts w:ascii="宋体" w:hAnsi="宋体" w:cs="宋体"/>
                <w:szCs w:val="21"/>
              </w:rPr>
            </w:pPr>
            <w:r>
              <w:rPr>
                <w:rFonts w:hint="eastAsia" w:ascii="宋体" w:hAnsi="宋体" w:cs="宋体"/>
                <w:szCs w:val="21"/>
              </w:rPr>
              <w:t>10.5</w:t>
            </w:r>
          </w:p>
        </w:tc>
        <w:tc>
          <w:tcPr>
            <w:tcW w:w="3845" w:type="dxa"/>
          </w:tcPr>
          <w:p>
            <w:pPr>
              <w:spacing w:line="240" w:lineRule="auto"/>
              <w:jc w:val="left"/>
              <w:rPr>
                <w:rFonts w:ascii="宋体" w:hAnsi="宋体" w:cs="宋体"/>
                <w:szCs w:val="21"/>
              </w:rPr>
            </w:pPr>
            <w:r>
              <w:rPr>
                <w:rFonts w:hint="eastAsia" w:ascii="宋体" w:hAnsi="宋体" w:cs="宋体"/>
                <w:szCs w:val="21"/>
              </w:rPr>
              <w:t>因拖欠工人工资引发游行示威、堵塞交通、冲击发包人或政府办公场所、损毁公共设施，或造成人员死亡的</w:t>
            </w:r>
          </w:p>
        </w:tc>
        <w:tc>
          <w:tcPr>
            <w:tcW w:w="1130" w:type="dxa"/>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175" w:type="dxa"/>
            <w:gridSpan w:val="2"/>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295" w:type="dxa"/>
            <w:gridSpan w:val="3"/>
            <w:vAlign w:val="center"/>
          </w:tcPr>
          <w:p>
            <w:pPr>
              <w:spacing w:line="240" w:lineRule="auto"/>
              <w:ind w:right="2"/>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08" w:type="dxa"/>
            <w:bottom w:w="0" w:type="dxa"/>
            <w:right w:w="106" w:type="dxa"/>
          </w:tblCellMar>
        </w:tblPrEx>
        <w:trPr>
          <w:trHeight w:val="562"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right="1"/>
              <w:jc w:val="left"/>
              <w:rPr>
                <w:rFonts w:ascii="宋体" w:hAnsi="宋体" w:cs="宋体"/>
                <w:szCs w:val="21"/>
              </w:rPr>
            </w:pPr>
          </w:p>
        </w:tc>
        <w:tc>
          <w:tcPr>
            <w:tcW w:w="698" w:type="dxa"/>
            <w:vAlign w:val="center"/>
          </w:tcPr>
          <w:p>
            <w:pPr>
              <w:spacing w:line="240" w:lineRule="auto"/>
              <w:ind w:right="1"/>
              <w:jc w:val="left"/>
              <w:rPr>
                <w:rFonts w:ascii="宋体" w:hAnsi="宋体" w:cs="宋体"/>
                <w:szCs w:val="21"/>
              </w:rPr>
            </w:pPr>
            <w:r>
              <w:rPr>
                <w:rFonts w:hint="eastAsia" w:ascii="宋体" w:hAnsi="宋体" w:cs="宋体"/>
                <w:szCs w:val="21"/>
              </w:rPr>
              <w:t>10.6</w:t>
            </w:r>
          </w:p>
        </w:tc>
        <w:tc>
          <w:tcPr>
            <w:tcW w:w="3845" w:type="dxa"/>
          </w:tcPr>
          <w:p>
            <w:pPr>
              <w:spacing w:line="240" w:lineRule="auto"/>
              <w:jc w:val="left"/>
              <w:rPr>
                <w:rFonts w:ascii="宋体" w:hAnsi="宋体" w:cs="宋体"/>
                <w:szCs w:val="21"/>
              </w:rPr>
            </w:pPr>
            <w:r>
              <w:rPr>
                <w:rFonts w:hint="eastAsia" w:ascii="宋体" w:hAnsi="宋体" w:cs="宋体"/>
                <w:szCs w:val="21"/>
              </w:rPr>
              <w:t>发生重大工程质量受到行政处罚的、或发生重大安全受到行政处罚的、或发生安全事故有人员死亡的</w:t>
            </w:r>
          </w:p>
        </w:tc>
        <w:tc>
          <w:tcPr>
            <w:tcW w:w="1130" w:type="dxa"/>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175" w:type="dxa"/>
            <w:gridSpan w:val="2"/>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295" w:type="dxa"/>
            <w:gridSpan w:val="3"/>
            <w:vAlign w:val="center"/>
          </w:tcPr>
          <w:p>
            <w:pPr>
              <w:spacing w:line="240" w:lineRule="auto"/>
              <w:ind w:right="2"/>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08" w:type="dxa"/>
            <w:bottom w:w="0" w:type="dxa"/>
            <w:right w:w="106" w:type="dxa"/>
          </w:tblCellMar>
        </w:tblPrEx>
        <w:trPr>
          <w:trHeight w:val="562"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right="1"/>
              <w:jc w:val="left"/>
              <w:rPr>
                <w:rFonts w:ascii="宋体" w:hAnsi="宋体" w:cs="宋体"/>
                <w:szCs w:val="21"/>
              </w:rPr>
            </w:pPr>
          </w:p>
        </w:tc>
        <w:tc>
          <w:tcPr>
            <w:tcW w:w="698" w:type="dxa"/>
            <w:vAlign w:val="center"/>
          </w:tcPr>
          <w:p>
            <w:pPr>
              <w:spacing w:line="240" w:lineRule="auto"/>
              <w:ind w:right="1"/>
              <w:jc w:val="left"/>
              <w:rPr>
                <w:rFonts w:ascii="宋体" w:hAnsi="宋体" w:cs="宋体"/>
                <w:szCs w:val="21"/>
              </w:rPr>
            </w:pPr>
            <w:r>
              <w:rPr>
                <w:rFonts w:hint="eastAsia" w:ascii="宋体" w:hAnsi="宋体" w:cs="宋体"/>
                <w:szCs w:val="21"/>
              </w:rPr>
              <w:t>10.7</w:t>
            </w:r>
          </w:p>
        </w:tc>
        <w:tc>
          <w:tcPr>
            <w:tcW w:w="3845" w:type="dxa"/>
            <w:vAlign w:val="center"/>
          </w:tcPr>
          <w:p>
            <w:pPr>
              <w:spacing w:line="240" w:lineRule="auto"/>
              <w:jc w:val="left"/>
              <w:rPr>
                <w:rFonts w:ascii="宋体" w:hAnsi="宋体" w:cs="宋体"/>
                <w:szCs w:val="21"/>
              </w:rPr>
            </w:pPr>
            <w:r>
              <w:rPr>
                <w:rFonts w:hint="eastAsia" w:ascii="宋体" w:hAnsi="宋体" w:cs="宋体"/>
                <w:szCs w:val="21"/>
              </w:rPr>
              <w:t>工程竣工验收不合格的</w:t>
            </w:r>
          </w:p>
        </w:tc>
        <w:tc>
          <w:tcPr>
            <w:tcW w:w="1130" w:type="dxa"/>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175" w:type="dxa"/>
            <w:gridSpan w:val="2"/>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295" w:type="dxa"/>
            <w:gridSpan w:val="3"/>
            <w:vAlign w:val="center"/>
          </w:tcPr>
          <w:p>
            <w:pPr>
              <w:spacing w:line="240" w:lineRule="auto"/>
              <w:ind w:right="2"/>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08" w:type="dxa"/>
            <w:bottom w:w="0" w:type="dxa"/>
            <w:right w:w="106" w:type="dxa"/>
          </w:tblCellMar>
        </w:tblPrEx>
        <w:trPr>
          <w:trHeight w:val="562"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right="1"/>
              <w:jc w:val="left"/>
              <w:rPr>
                <w:rFonts w:ascii="宋体" w:hAnsi="宋体" w:cs="宋体"/>
                <w:szCs w:val="21"/>
              </w:rPr>
            </w:pPr>
          </w:p>
        </w:tc>
        <w:tc>
          <w:tcPr>
            <w:tcW w:w="698" w:type="dxa"/>
            <w:vAlign w:val="center"/>
          </w:tcPr>
          <w:p>
            <w:pPr>
              <w:spacing w:line="240" w:lineRule="auto"/>
              <w:ind w:right="1"/>
              <w:jc w:val="left"/>
              <w:rPr>
                <w:rFonts w:ascii="宋体" w:hAnsi="宋体" w:cs="宋体"/>
                <w:szCs w:val="21"/>
              </w:rPr>
            </w:pPr>
            <w:r>
              <w:rPr>
                <w:rFonts w:hint="eastAsia" w:ascii="宋体" w:hAnsi="宋体" w:cs="宋体"/>
                <w:szCs w:val="21"/>
              </w:rPr>
              <w:t>10.8</w:t>
            </w:r>
          </w:p>
        </w:tc>
        <w:tc>
          <w:tcPr>
            <w:tcW w:w="3845" w:type="dxa"/>
          </w:tcPr>
          <w:p>
            <w:pPr>
              <w:spacing w:line="240" w:lineRule="auto"/>
              <w:jc w:val="left"/>
              <w:rPr>
                <w:rFonts w:ascii="宋体" w:hAnsi="宋体" w:cs="宋体"/>
                <w:szCs w:val="21"/>
              </w:rPr>
            </w:pPr>
            <w:r>
              <w:rPr>
                <w:rFonts w:hint="eastAsia" w:ascii="宋体" w:hAnsi="宋体" w:cs="宋体"/>
                <w:szCs w:val="21"/>
              </w:rPr>
              <w:t>经纪检监察机关认定行贿受贿造成严重后果或恶劣影响的</w:t>
            </w:r>
          </w:p>
        </w:tc>
        <w:tc>
          <w:tcPr>
            <w:tcW w:w="1130" w:type="dxa"/>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175" w:type="dxa"/>
            <w:gridSpan w:val="2"/>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295" w:type="dxa"/>
            <w:gridSpan w:val="3"/>
            <w:vAlign w:val="center"/>
          </w:tcPr>
          <w:p>
            <w:pPr>
              <w:spacing w:line="240" w:lineRule="auto"/>
              <w:ind w:right="2"/>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08" w:type="dxa"/>
            <w:bottom w:w="0" w:type="dxa"/>
            <w:right w:w="106" w:type="dxa"/>
          </w:tblCellMar>
        </w:tblPrEx>
        <w:trPr>
          <w:trHeight w:val="562"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right="1"/>
              <w:jc w:val="left"/>
              <w:rPr>
                <w:rFonts w:ascii="宋体" w:hAnsi="宋体" w:cs="宋体"/>
                <w:szCs w:val="21"/>
              </w:rPr>
            </w:pPr>
          </w:p>
        </w:tc>
        <w:tc>
          <w:tcPr>
            <w:tcW w:w="698" w:type="dxa"/>
            <w:vAlign w:val="center"/>
          </w:tcPr>
          <w:p>
            <w:pPr>
              <w:spacing w:line="240" w:lineRule="auto"/>
              <w:ind w:right="1"/>
              <w:jc w:val="left"/>
              <w:rPr>
                <w:rFonts w:ascii="宋体" w:hAnsi="宋体" w:cs="宋体"/>
                <w:szCs w:val="21"/>
              </w:rPr>
            </w:pPr>
            <w:r>
              <w:rPr>
                <w:rFonts w:hint="eastAsia" w:ascii="宋体" w:hAnsi="宋体" w:cs="宋体"/>
                <w:szCs w:val="21"/>
              </w:rPr>
              <w:t>10.9</w:t>
            </w:r>
          </w:p>
        </w:tc>
        <w:tc>
          <w:tcPr>
            <w:tcW w:w="3845" w:type="dxa"/>
          </w:tcPr>
          <w:p>
            <w:pPr>
              <w:spacing w:line="240" w:lineRule="auto"/>
              <w:jc w:val="left"/>
              <w:rPr>
                <w:rFonts w:ascii="宋体" w:hAnsi="宋体" w:cs="宋体"/>
                <w:szCs w:val="21"/>
              </w:rPr>
            </w:pPr>
            <w:r>
              <w:rPr>
                <w:rFonts w:hint="eastAsia" w:ascii="宋体" w:hAnsi="宋体" w:cs="宋体"/>
                <w:szCs w:val="21"/>
              </w:rPr>
              <w:t>未根据企业自身情况合理报价，以低于成本价竞标，中标后却放弃中标，拒签合同的</w:t>
            </w:r>
          </w:p>
        </w:tc>
        <w:tc>
          <w:tcPr>
            <w:tcW w:w="1130" w:type="dxa"/>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175" w:type="dxa"/>
            <w:gridSpan w:val="2"/>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295" w:type="dxa"/>
            <w:gridSpan w:val="3"/>
            <w:vAlign w:val="center"/>
          </w:tcPr>
          <w:p>
            <w:pPr>
              <w:spacing w:line="240" w:lineRule="auto"/>
              <w:ind w:right="2"/>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08" w:type="dxa"/>
            <w:bottom w:w="0" w:type="dxa"/>
            <w:right w:w="106" w:type="dxa"/>
          </w:tblCellMar>
        </w:tblPrEx>
        <w:trPr>
          <w:trHeight w:val="562" w:hRule="atLeast"/>
        </w:trPr>
        <w:tc>
          <w:tcPr>
            <w:tcW w:w="366" w:type="dxa"/>
            <w:gridSpan w:val="3"/>
            <w:vMerge w:val="continue"/>
          </w:tcPr>
          <w:p>
            <w:pPr>
              <w:spacing w:line="240" w:lineRule="auto"/>
              <w:jc w:val="left"/>
              <w:rPr>
                <w:rFonts w:ascii="宋体" w:hAnsi="宋体" w:cs="宋体"/>
                <w:szCs w:val="21"/>
              </w:rPr>
            </w:pPr>
          </w:p>
        </w:tc>
        <w:tc>
          <w:tcPr>
            <w:tcW w:w="551" w:type="dxa"/>
            <w:vMerge w:val="continue"/>
            <w:vAlign w:val="center"/>
          </w:tcPr>
          <w:p>
            <w:pPr>
              <w:spacing w:line="240" w:lineRule="auto"/>
              <w:ind w:right="3"/>
              <w:jc w:val="left"/>
              <w:rPr>
                <w:rFonts w:ascii="宋体" w:hAnsi="宋体" w:cs="宋体"/>
                <w:szCs w:val="21"/>
              </w:rPr>
            </w:pPr>
          </w:p>
        </w:tc>
        <w:tc>
          <w:tcPr>
            <w:tcW w:w="698" w:type="dxa"/>
            <w:vAlign w:val="center"/>
          </w:tcPr>
          <w:p>
            <w:pPr>
              <w:spacing w:line="240" w:lineRule="auto"/>
              <w:ind w:right="3"/>
              <w:jc w:val="left"/>
              <w:rPr>
                <w:rFonts w:ascii="宋体" w:hAnsi="宋体" w:cs="宋体"/>
                <w:szCs w:val="21"/>
              </w:rPr>
            </w:pPr>
            <w:r>
              <w:rPr>
                <w:rFonts w:hint="eastAsia" w:ascii="宋体" w:hAnsi="宋体" w:cs="宋体"/>
                <w:szCs w:val="21"/>
              </w:rPr>
              <w:t>10.10</w:t>
            </w:r>
          </w:p>
        </w:tc>
        <w:tc>
          <w:tcPr>
            <w:tcW w:w="3845" w:type="dxa"/>
            <w:vAlign w:val="center"/>
          </w:tcPr>
          <w:p>
            <w:pPr>
              <w:spacing w:line="240" w:lineRule="auto"/>
              <w:jc w:val="left"/>
              <w:rPr>
                <w:rFonts w:ascii="宋体" w:hAnsi="宋体" w:cs="宋体"/>
                <w:szCs w:val="21"/>
              </w:rPr>
            </w:pPr>
            <w:r>
              <w:rPr>
                <w:rFonts w:hint="eastAsia" w:ascii="宋体" w:hAnsi="宋体" w:cs="宋体"/>
                <w:szCs w:val="21"/>
              </w:rPr>
              <w:t>因串通招标投标受到行政处罚的</w:t>
            </w:r>
          </w:p>
        </w:tc>
        <w:tc>
          <w:tcPr>
            <w:tcW w:w="1130" w:type="dxa"/>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175" w:type="dxa"/>
            <w:gridSpan w:val="2"/>
            <w:vAlign w:val="center"/>
          </w:tcPr>
          <w:p>
            <w:pPr>
              <w:spacing w:line="240" w:lineRule="auto"/>
              <w:ind w:right="2"/>
              <w:jc w:val="left"/>
              <w:rPr>
                <w:rFonts w:ascii="宋体" w:hAnsi="宋体" w:cs="宋体"/>
                <w:szCs w:val="21"/>
              </w:rPr>
            </w:pPr>
            <w:r>
              <w:rPr>
                <w:rFonts w:hint="eastAsia" w:ascii="宋体" w:hAnsi="宋体" w:cs="宋体"/>
                <w:szCs w:val="21"/>
              </w:rPr>
              <w:t>/</w:t>
            </w:r>
          </w:p>
        </w:tc>
        <w:tc>
          <w:tcPr>
            <w:tcW w:w="1295" w:type="dxa"/>
            <w:gridSpan w:val="3"/>
            <w:vAlign w:val="center"/>
          </w:tcPr>
          <w:p>
            <w:pPr>
              <w:spacing w:line="240" w:lineRule="auto"/>
              <w:ind w:right="2"/>
              <w:jc w:val="left"/>
              <w:rPr>
                <w:rFonts w:ascii="宋体" w:hAnsi="宋体" w:cs="宋体"/>
                <w:szCs w:val="21"/>
              </w:rPr>
            </w:pPr>
          </w:p>
        </w:tc>
      </w:tr>
    </w:tbl>
    <w:p>
      <w:pPr>
        <w:rPr>
          <w:rFonts w:ascii="宋体" w:hAnsi="宋体" w:cs="宋体"/>
          <w:kern w:val="0"/>
          <w:szCs w:val="21"/>
        </w:rPr>
        <w:sectPr>
          <w:footerReference r:id="rId13" w:type="default"/>
          <w:pgSz w:w="11906" w:h="16838"/>
          <w:pgMar w:top="1440" w:right="1800" w:bottom="1440" w:left="1800" w:header="851" w:footer="850" w:gutter="0"/>
          <w:cols w:space="720" w:num="1"/>
          <w:docGrid w:type="lines" w:linePitch="312" w:charSpace="-3629"/>
        </w:sectPr>
      </w:pPr>
      <w:r>
        <w:rPr>
          <w:rFonts w:hint="eastAsia" w:ascii="宋体" w:hAnsi="宋体" w:cs="宋体"/>
          <w:kern w:val="0"/>
          <w:szCs w:val="21"/>
        </w:rPr>
        <w:t>备注：《承包人履约评价标准与违约金处罚一览表》的所有条款是在执行承包人递交的《关于遵守招标文件和履行施工合同的声明》基础上的额外违约处置，并与合同内其他违约条款一并执行。</w:t>
      </w:r>
    </w:p>
    <w:p>
      <w:pPr>
        <w:spacing w:after="46"/>
        <w:ind w:left="648" w:leftChars="0" w:hanging="648" w:firstLineChars="0"/>
        <w:jc w:val="center"/>
        <w:rPr>
          <w:rFonts w:ascii="宋体" w:hAnsi="宋体" w:cs="宋体"/>
          <w:b/>
        </w:rPr>
      </w:pPr>
      <w:r>
        <w:rPr>
          <w:rFonts w:hint="eastAsia" w:ascii="宋体" w:hAnsi="宋体" w:cs="宋体"/>
          <w:b/>
        </w:rPr>
        <w:t>附表：《施工单位安全文明施工违约行为处分标准》</w:t>
      </w:r>
    </w:p>
    <w:tbl>
      <w:tblPr>
        <w:tblStyle w:val="49"/>
        <w:tblW w:w="10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61" w:type="dxa"/>
          <w:left w:w="107" w:type="dxa"/>
          <w:bottom w:w="0" w:type="dxa"/>
          <w:right w:w="109" w:type="dxa"/>
        </w:tblCellMar>
      </w:tblPr>
      <w:tblGrid>
        <w:gridCol w:w="539"/>
        <w:gridCol w:w="993"/>
        <w:gridCol w:w="993"/>
        <w:gridCol w:w="5103"/>
        <w:gridCol w:w="1246"/>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946" w:hRule="atLeast"/>
          <w:jc w:val="center"/>
        </w:trPr>
        <w:tc>
          <w:tcPr>
            <w:tcW w:w="539" w:type="dxa"/>
            <w:vAlign w:val="center"/>
          </w:tcPr>
          <w:p>
            <w:pPr>
              <w:spacing w:line="240" w:lineRule="auto"/>
              <w:jc w:val="center"/>
              <w:rPr>
                <w:rFonts w:ascii="宋体" w:hAnsi="宋体" w:cs="宋体"/>
                <w:szCs w:val="21"/>
              </w:rPr>
            </w:pPr>
            <w:r>
              <w:rPr>
                <w:rFonts w:hint="eastAsia" w:ascii="宋体" w:hAnsi="宋体" w:cs="宋体"/>
                <w:szCs w:val="21"/>
              </w:rPr>
              <w:t>序号</w:t>
            </w:r>
          </w:p>
        </w:tc>
        <w:tc>
          <w:tcPr>
            <w:tcW w:w="993" w:type="dxa"/>
            <w:vAlign w:val="center"/>
          </w:tcPr>
          <w:p>
            <w:pPr>
              <w:spacing w:line="240" w:lineRule="auto"/>
              <w:rPr>
                <w:rFonts w:ascii="宋体" w:hAnsi="宋体" w:cs="宋体"/>
                <w:szCs w:val="21"/>
              </w:rPr>
            </w:pPr>
            <w:r>
              <w:rPr>
                <w:rFonts w:hint="eastAsia" w:ascii="宋体" w:hAnsi="宋体" w:cs="宋体"/>
                <w:szCs w:val="21"/>
              </w:rPr>
              <w:t>检查项目</w:t>
            </w:r>
          </w:p>
        </w:tc>
        <w:tc>
          <w:tcPr>
            <w:tcW w:w="993" w:type="dxa"/>
            <w:vAlign w:val="center"/>
          </w:tcPr>
          <w:p>
            <w:pPr>
              <w:spacing w:line="240" w:lineRule="auto"/>
              <w:jc w:val="center"/>
              <w:rPr>
                <w:rFonts w:ascii="宋体" w:hAnsi="宋体" w:cs="宋体"/>
                <w:szCs w:val="21"/>
              </w:rPr>
            </w:pPr>
            <w:r>
              <w:rPr>
                <w:rFonts w:hint="eastAsia" w:ascii="宋体" w:hAnsi="宋体" w:cs="宋体"/>
                <w:szCs w:val="21"/>
              </w:rPr>
              <w:t>违规行为编码</w:t>
            </w:r>
          </w:p>
        </w:tc>
        <w:tc>
          <w:tcPr>
            <w:tcW w:w="5103" w:type="dxa"/>
            <w:vAlign w:val="center"/>
          </w:tcPr>
          <w:p>
            <w:pPr>
              <w:spacing w:line="240" w:lineRule="auto"/>
              <w:jc w:val="center"/>
              <w:rPr>
                <w:rFonts w:ascii="宋体" w:hAnsi="宋体" w:cs="宋体"/>
                <w:szCs w:val="21"/>
              </w:rPr>
            </w:pPr>
            <w:r>
              <w:rPr>
                <w:rFonts w:hint="eastAsia" w:ascii="宋体" w:hAnsi="宋体" w:cs="宋体"/>
                <w:szCs w:val="21"/>
              </w:rPr>
              <w:t>安全与文明施工管理违规行为</w:t>
            </w:r>
          </w:p>
        </w:tc>
        <w:tc>
          <w:tcPr>
            <w:tcW w:w="1246" w:type="dxa"/>
            <w:vAlign w:val="center"/>
          </w:tcPr>
          <w:p>
            <w:pPr>
              <w:spacing w:line="240" w:lineRule="auto"/>
              <w:rPr>
                <w:rFonts w:ascii="宋体" w:hAnsi="宋体" w:cs="宋体"/>
                <w:szCs w:val="21"/>
              </w:rPr>
            </w:pPr>
            <w:r>
              <w:rPr>
                <w:rFonts w:hint="eastAsia" w:ascii="宋体" w:hAnsi="宋体" w:cs="宋体"/>
                <w:szCs w:val="21"/>
              </w:rPr>
              <w:t>履约分处分</w:t>
            </w:r>
          </w:p>
        </w:tc>
        <w:tc>
          <w:tcPr>
            <w:tcW w:w="1304" w:type="dxa"/>
          </w:tcPr>
          <w:p>
            <w:pPr>
              <w:spacing w:line="240" w:lineRule="auto"/>
              <w:rPr>
                <w:rFonts w:ascii="宋体" w:hAnsi="宋体" w:cs="宋体"/>
                <w:szCs w:val="21"/>
              </w:rPr>
            </w:pPr>
            <w:r>
              <w:rPr>
                <w:rFonts w:hint="eastAsia" w:ascii="宋体" w:hAnsi="宋体" w:cs="宋体"/>
                <w:szCs w:val="21"/>
              </w:rPr>
              <w:t>经济金额处分</w:t>
            </w:r>
          </w:p>
          <w:p>
            <w:pPr>
              <w:spacing w:line="240" w:lineRule="auto"/>
              <w:rPr>
                <w:rFonts w:ascii="宋体" w:hAnsi="宋体" w:cs="宋体"/>
                <w:szCs w:val="21"/>
              </w:rPr>
            </w:pPr>
            <w:r>
              <w:rPr>
                <w:rFonts w:hint="eastAsia" w:ascii="宋体" w:hAnsi="宋体" w:cs="宋体"/>
                <w:szCs w:val="21"/>
              </w:rPr>
              <w:t>（元/条.人</w:t>
            </w:r>
          </w:p>
          <w:p>
            <w:pPr>
              <w:spacing w:line="240" w:lineRule="auto"/>
              <w:jc w:val="center"/>
              <w:rPr>
                <w:rFonts w:ascii="宋体" w:hAnsi="宋体" w:cs="宋体"/>
                <w:szCs w:val="21"/>
              </w:rPr>
            </w:pPr>
            <w:r>
              <w:rPr>
                <w:rFonts w:hint="eastAsia" w:ascii="宋体" w:hAnsi="宋体" w:cs="宋体"/>
                <w:szCs w:val="21"/>
              </w:rPr>
              <w:t>次.处）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634" w:hRule="atLeast"/>
          <w:jc w:val="center"/>
        </w:trPr>
        <w:tc>
          <w:tcPr>
            <w:tcW w:w="539" w:type="dxa"/>
            <w:vMerge w:val="restart"/>
            <w:vAlign w:val="center"/>
          </w:tcPr>
          <w:p>
            <w:pPr>
              <w:spacing w:line="240" w:lineRule="auto"/>
              <w:jc w:val="center"/>
              <w:rPr>
                <w:rFonts w:ascii="宋体" w:hAnsi="宋体" w:cs="宋体"/>
                <w:szCs w:val="21"/>
              </w:rPr>
            </w:pPr>
            <w:r>
              <w:rPr>
                <w:rFonts w:hint="eastAsia" w:ascii="宋体" w:hAnsi="宋体" w:cs="宋体"/>
                <w:szCs w:val="21"/>
              </w:rPr>
              <w:t>1</w:t>
            </w:r>
          </w:p>
        </w:tc>
        <w:tc>
          <w:tcPr>
            <w:tcW w:w="993" w:type="dxa"/>
            <w:vMerge w:val="restart"/>
            <w:vAlign w:val="center"/>
          </w:tcPr>
          <w:p>
            <w:pPr>
              <w:spacing w:line="240" w:lineRule="auto"/>
              <w:jc w:val="center"/>
              <w:rPr>
                <w:rFonts w:ascii="宋体" w:hAnsi="宋体" w:cs="宋体"/>
                <w:szCs w:val="21"/>
              </w:rPr>
            </w:pPr>
            <w:r>
              <w:rPr>
                <w:rFonts w:hint="eastAsia" w:ascii="宋体" w:hAnsi="宋体" w:cs="宋体"/>
                <w:szCs w:val="21"/>
              </w:rPr>
              <w:t>机构与人员</w:t>
            </w:r>
          </w:p>
        </w:tc>
        <w:tc>
          <w:tcPr>
            <w:tcW w:w="993" w:type="dxa"/>
            <w:vAlign w:val="center"/>
          </w:tcPr>
          <w:p>
            <w:pPr>
              <w:spacing w:line="240" w:lineRule="auto"/>
              <w:jc w:val="center"/>
              <w:rPr>
                <w:rFonts w:ascii="宋体" w:hAnsi="宋体" w:cs="宋体"/>
                <w:szCs w:val="21"/>
              </w:rPr>
            </w:pPr>
            <w:r>
              <w:rPr>
                <w:rFonts w:hint="eastAsia" w:ascii="宋体" w:hAnsi="宋体" w:cs="宋体"/>
                <w:szCs w:val="21"/>
              </w:rPr>
              <w:t>1.1.1</w:t>
            </w:r>
          </w:p>
        </w:tc>
        <w:tc>
          <w:tcPr>
            <w:tcW w:w="5103" w:type="dxa"/>
            <w:vAlign w:val="center"/>
          </w:tcPr>
          <w:p>
            <w:pPr>
              <w:spacing w:line="240" w:lineRule="auto"/>
              <w:jc w:val="both"/>
              <w:rPr>
                <w:rFonts w:ascii="宋体" w:hAnsi="宋体" w:cs="宋体"/>
                <w:szCs w:val="21"/>
              </w:rPr>
            </w:pPr>
            <w:r>
              <w:rPr>
                <w:rFonts w:hint="eastAsia" w:ascii="宋体" w:hAnsi="宋体" w:cs="宋体"/>
                <w:szCs w:val="21"/>
              </w:rPr>
              <w:t>安全管理制度（含应急预案）不健全或落实不到位，安全管理混乱。</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扣4分</w:t>
            </w:r>
          </w:p>
        </w:tc>
        <w:tc>
          <w:tcPr>
            <w:tcW w:w="1304" w:type="dxa"/>
            <w:vAlign w:val="center"/>
          </w:tcPr>
          <w:p>
            <w:pPr>
              <w:spacing w:line="240" w:lineRule="auto"/>
              <w:rPr>
                <w:rFonts w:ascii="宋体" w:hAnsi="宋体" w:cs="宋体"/>
                <w:szCs w:val="21"/>
              </w:rPr>
            </w:pPr>
            <w:r>
              <w:rPr>
                <w:rFonts w:hint="eastAsia" w:ascii="宋体" w:hAnsi="宋体" w:cs="宋体"/>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453"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1.1.2</w:t>
            </w:r>
          </w:p>
        </w:tc>
        <w:tc>
          <w:tcPr>
            <w:tcW w:w="5103" w:type="dxa"/>
            <w:vAlign w:val="center"/>
          </w:tcPr>
          <w:p>
            <w:pPr>
              <w:spacing w:line="240" w:lineRule="auto"/>
              <w:jc w:val="both"/>
              <w:rPr>
                <w:rFonts w:ascii="宋体" w:hAnsi="宋体" w:cs="宋体"/>
                <w:szCs w:val="21"/>
              </w:rPr>
            </w:pPr>
            <w:r>
              <w:rPr>
                <w:rFonts w:hint="eastAsia" w:ascii="宋体" w:hAnsi="宋体" w:cs="宋体"/>
                <w:szCs w:val="21"/>
              </w:rPr>
              <w:t>企业“三类人员”未持安全生产考核合格证上岗</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vAlign w:val="center"/>
          </w:tcPr>
          <w:p>
            <w:pPr>
              <w:spacing w:line="240" w:lineRule="auto"/>
              <w:rPr>
                <w:rFonts w:ascii="宋体" w:hAnsi="宋体" w:cs="宋体"/>
                <w:szCs w:val="21"/>
              </w:rPr>
            </w:pPr>
            <w:r>
              <w:rPr>
                <w:rFonts w:hint="eastAsia" w:ascii="宋体" w:hAnsi="宋体" w:cs="宋体"/>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398"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1.1.3</w:t>
            </w:r>
          </w:p>
        </w:tc>
        <w:tc>
          <w:tcPr>
            <w:tcW w:w="5103" w:type="dxa"/>
            <w:vAlign w:val="center"/>
          </w:tcPr>
          <w:p>
            <w:pPr>
              <w:spacing w:line="240" w:lineRule="auto"/>
              <w:jc w:val="both"/>
              <w:rPr>
                <w:rFonts w:ascii="宋体" w:hAnsi="宋体" w:cs="宋体"/>
                <w:szCs w:val="21"/>
              </w:rPr>
            </w:pPr>
            <w:r>
              <w:rPr>
                <w:rFonts w:hint="eastAsia" w:ascii="宋体" w:hAnsi="宋体" w:cs="宋体"/>
                <w:szCs w:val="21"/>
              </w:rPr>
              <w:t>未按要求设置安全管理机构</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vAlign w:val="center"/>
          </w:tcPr>
          <w:p>
            <w:pPr>
              <w:spacing w:line="240" w:lineRule="auto"/>
              <w:rPr>
                <w:rFonts w:ascii="宋体" w:hAnsi="宋体" w:cs="宋体"/>
                <w:szCs w:val="21"/>
              </w:rPr>
            </w:pPr>
            <w:r>
              <w:rPr>
                <w:rFonts w:hint="eastAsia" w:ascii="宋体" w:hAnsi="宋体" w:cs="宋体"/>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46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1.1.4</w:t>
            </w:r>
          </w:p>
        </w:tc>
        <w:tc>
          <w:tcPr>
            <w:tcW w:w="5103" w:type="dxa"/>
            <w:vAlign w:val="center"/>
          </w:tcPr>
          <w:p>
            <w:pPr>
              <w:spacing w:line="240" w:lineRule="auto"/>
              <w:jc w:val="both"/>
              <w:rPr>
                <w:rFonts w:ascii="宋体" w:hAnsi="宋体" w:cs="宋体"/>
                <w:szCs w:val="21"/>
              </w:rPr>
            </w:pPr>
            <w:r>
              <w:rPr>
                <w:rFonts w:hint="eastAsia" w:ascii="宋体" w:hAnsi="宋体" w:cs="宋体"/>
                <w:szCs w:val="21"/>
              </w:rPr>
              <w:t>未设置安全总监，未按规定配备专职安全管理人员</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vAlign w:val="center"/>
          </w:tcPr>
          <w:p>
            <w:pPr>
              <w:spacing w:line="240" w:lineRule="auto"/>
              <w:rPr>
                <w:rFonts w:ascii="宋体" w:hAnsi="宋体" w:cs="宋体"/>
                <w:szCs w:val="21"/>
              </w:rPr>
            </w:pPr>
            <w:r>
              <w:rPr>
                <w:rFonts w:hint="eastAsia" w:ascii="宋体" w:hAnsi="宋体" w:cs="宋体"/>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46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1.1.5</w:t>
            </w:r>
          </w:p>
        </w:tc>
        <w:tc>
          <w:tcPr>
            <w:tcW w:w="5103" w:type="dxa"/>
            <w:vAlign w:val="center"/>
          </w:tcPr>
          <w:p>
            <w:pPr>
              <w:spacing w:line="240" w:lineRule="auto"/>
              <w:jc w:val="both"/>
              <w:rPr>
                <w:rFonts w:ascii="宋体" w:hAnsi="宋体" w:cs="宋体"/>
                <w:szCs w:val="21"/>
              </w:rPr>
            </w:pPr>
            <w:r>
              <w:rPr>
                <w:rFonts w:hint="eastAsia" w:ascii="宋体" w:hAnsi="宋体" w:cs="宋体"/>
                <w:szCs w:val="21"/>
              </w:rPr>
              <w:t>特殊工种作业人员未持证上岗，每人</w:t>
            </w:r>
          </w:p>
        </w:tc>
        <w:tc>
          <w:tcPr>
            <w:tcW w:w="1246" w:type="dxa"/>
            <w:vAlign w:val="center"/>
          </w:tcPr>
          <w:p>
            <w:pPr>
              <w:spacing w:line="240" w:lineRule="auto"/>
              <w:rPr>
                <w:rFonts w:ascii="宋体" w:hAnsi="宋体" w:cs="宋体"/>
                <w:szCs w:val="21"/>
              </w:rPr>
            </w:pPr>
            <w:r>
              <w:rPr>
                <w:rFonts w:hint="eastAsia" w:ascii="宋体" w:hAnsi="宋体" w:cs="宋体"/>
                <w:szCs w:val="21"/>
              </w:rPr>
              <w:t>扣1分/人</w:t>
            </w:r>
          </w:p>
        </w:tc>
        <w:tc>
          <w:tcPr>
            <w:tcW w:w="1304" w:type="dxa"/>
            <w:vAlign w:val="center"/>
          </w:tcPr>
          <w:p>
            <w:pPr>
              <w:spacing w:line="240" w:lineRule="auto"/>
              <w:rPr>
                <w:rFonts w:ascii="宋体" w:hAnsi="宋体" w:cs="宋体"/>
                <w:szCs w:val="21"/>
              </w:rPr>
            </w:pPr>
            <w:r>
              <w:rPr>
                <w:rFonts w:hint="eastAsia" w:ascii="宋体" w:hAnsi="宋体" w:cs="宋体"/>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464" w:hRule="atLeast"/>
          <w:jc w:val="center"/>
        </w:trPr>
        <w:tc>
          <w:tcPr>
            <w:tcW w:w="539" w:type="dxa"/>
            <w:vMerge w:val="restart"/>
            <w:vAlign w:val="center"/>
          </w:tcPr>
          <w:p>
            <w:pPr>
              <w:spacing w:line="240" w:lineRule="auto"/>
              <w:jc w:val="center"/>
              <w:rPr>
                <w:rFonts w:ascii="宋体" w:hAnsi="宋体" w:cs="宋体"/>
                <w:szCs w:val="21"/>
              </w:rPr>
            </w:pPr>
            <w:r>
              <w:rPr>
                <w:rFonts w:hint="eastAsia" w:ascii="宋体" w:hAnsi="宋体" w:cs="宋体"/>
                <w:szCs w:val="21"/>
              </w:rPr>
              <w:t>2</w:t>
            </w:r>
          </w:p>
        </w:tc>
        <w:tc>
          <w:tcPr>
            <w:tcW w:w="993" w:type="dxa"/>
            <w:vMerge w:val="restart"/>
            <w:vAlign w:val="center"/>
          </w:tcPr>
          <w:p>
            <w:pPr>
              <w:spacing w:line="240" w:lineRule="auto"/>
              <w:jc w:val="center"/>
              <w:rPr>
                <w:rFonts w:ascii="宋体" w:hAnsi="宋体" w:cs="宋体"/>
                <w:szCs w:val="21"/>
              </w:rPr>
            </w:pPr>
            <w:r>
              <w:rPr>
                <w:rFonts w:hint="eastAsia" w:ascii="宋体" w:hAnsi="宋体" w:cs="宋体"/>
                <w:szCs w:val="21"/>
              </w:rPr>
              <w:t>安全生产责任制度及目标管理</w:t>
            </w:r>
          </w:p>
        </w:tc>
        <w:tc>
          <w:tcPr>
            <w:tcW w:w="993" w:type="dxa"/>
            <w:vAlign w:val="center"/>
          </w:tcPr>
          <w:p>
            <w:pPr>
              <w:spacing w:line="240" w:lineRule="auto"/>
              <w:jc w:val="center"/>
              <w:rPr>
                <w:rFonts w:ascii="宋体" w:hAnsi="宋体" w:cs="宋体"/>
                <w:szCs w:val="21"/>
              </w:rPr>
            </w:pPr>
            <w:r>
              <w:rPr>
                <w:rFonts w:hint="eastAsia" w:ascii="宋体" w:hAnsi="宋体" w:cs="宋体"/>
                <w:szCs w:val="21"/>
              </w:rPr>
              <w:t>1.2.1</w:t>
            </w:r>
          </w:p>
        </w:tc>
        <w:tc>
          <w:tcPr>
            <w:tcW w:w="5103" w:type="dxa"/>
            <w:vAlign w:val="center"/>
          </w:tcPr>
          <w:p>
            <w:pPr>
              <w:spacing w:line="240" w:lineRule="auto"/>
              <w:jc w:val="both"/>
              <w:rPr>
                <w:rFonts w:ascii="宋体" w:hAnsi="宋体" w:cs="宋体"/>
                <w:szCs w:val="21"/>
              </w:rPr>
            </w:pPr>
            <w:r>
              <w:rPr>
                <w:rFonts w:hint="eastAsia" w:ascii="宋体" w:hAnsi="宋体" w:cs="宋体"/>
                <w:szCs w:val="21"/>
              </w:rPr>
              <w:t>未建立安全生产责任制或安全生产责任制不健全</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扣4分</w:t>
            </w:r>
          </w:p>
        </w:tc>
        <w:tc>
          <w:tcPr>
            <w:tcW w:w="1304" w:type="dxa"/>
            <w:vAlign w:val="center"/>
          </w:tcPr>
          <w:p>
            <w:pPr>
              <w:spacing w:line="240" w:lineRule="auto"/>
              <w:rPr>
                <w:rFonts w:ascii="宋体" w:hAnsi="宋体" w:cs="宋体"/>
                <w:szCs w:val="21"/>
              </w:rPr>
            </w:pPr>
            <w:r>
              <w:rPr>
                <w:rFonts w:hint="eastAsia" w:ascii="宋体" w:hAnsi="宋体" w:cs="宋体"/>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46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1.2.2</w:t>
            </w:r>
          </w:p>
        </w:tc>
        <w:tc>
          <w:tcPr>
            <w:tcW w:w="5103" w:type="dxa"/>
            <w:vAlign w:val="center"/>
          </w:tcPr>
          <w:p>
            <w:pPr>
              <w:spacing w:line="240" w:lineRule="auto"/>
              <w:rPr>
                <w:rFonts w:ascii="宋体" w:hAnsi="宋体" w:cs="宋体"/>
                <w:szCs w:val="21"/>
              </w:rPr>
            </w:pPr>
            <w:r>
              <w:rPr>
                <w:rFonts w:hint="eastAsia" w:ascii="宋体" w:hAnsi="宋体" w:cs="宋体"/>
                <w:szCs w:val="21"/>
              </w:rPr>
              <w:t>未制定安全管理目标和未进行安全责任目标分解</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vAlign w:val="center"/>
          </w:tcPr>
          <w:p>
            <w:pPr>
              <w:spacing w:line="240" w:lineRule="auto"/>
              <w:rPr>
                <w:rFonts w:ascii="宋体" w:hAnsi="宋体" w:cs="宋体"/>
                <w:szCs w:val="21"/>
              </w:rPr>
            </w:pPr>
            <w:r>
              <w:rPr>
                <w:rFonts w:hint="eastAsia" w:ascii="宋体" w:hAnsi="宋体" w:cs="宋体"/>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46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1.2.3</w:t>
            </w:r>
          </w:p>
        </w:tc>
        <w:tc>
          <w:tcPr>
            <w:tcW w:w="5103" w:type="dxa"/>
            <w:vAlign w:val="center"/>
          </w:tcPr>
          <w:p>
            <w:pPr>
              <w:spacing w:line="240" w:lineRule="auto"/>
              <w:rPr>
                <w:rFonts w:ascii="宋体" w:hAnsi="宋体" w:cs="宋体"/>
                <w:szCs w:val="21"/>
              </w:rPr>
            </w:pPr>
            <w:r>
              <w:rPr>
                <w:rFonts w:hint="eastAsia" w:ascii="宋体" w:hAnsi="宋体" w:cs="宋体"/>
                <w:szCs w:val="21"/>
              </w:rPr>
              <w:t>未制定各工种安全技术操作规程</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扣1.5分</w:t>
            </w:r>
          </w:p>
        </w:tc>
        <w:tc>
          <w:tcPr>
            <w:tcW w:w="1304" w:type="dxa"/>
            <w:vAlign w:val="center"/>
          </w:tcPr>
          <w:p>
            <w:pPr>
              <w:spacing w:line="240" w:lineRule="auto"/>
              <w:rPr>
                <w:rFonts w:ascii="宋体" w:hAnsi="宋体" w:cs="宋体"/>
                <w:szCs w:val="21"/>
              </w:rPr>
            </w:pPr>
            <w:r>
              <w:rPr>
                <w:rFonts w:hint="eastAsia" w:ascii="宋体" w:hAnsi="宋体" w:cs="宋体"/>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464" w:hRule="atLeast"/>
          <w:jc w:val="center"/>
        </w:trPr>
        <w:tc>
          <w:tcPr>
            <w:tcW w:w="539" w:type="dxa"/>
            <w:vMerge w:val="restart"/>
            <w:vAlign w:val="center"/>
          </w:tcPr>
          <w:p>
            <w:pPr>
              <w:spacing w:line="240" w:lineRule="auto"/>
              <w:jc w:val="center"/>
              <w:rPr>
                <w:rFonts w:ascii="宋体" w:hAnsi="宋体" w:cs="宋体"/>
                <w:szCs w:val="21"/>
              </w:rPr>
            </w:pPr>
            <w:r>
              <w:rPr>
                <w:rFonts w:hint="eastAsia" w:ascii="宋体" w:hAnsi="宋体" w:cs="宋体"/>
                <w:szCs w:val="21"/>
              </w:rPr>
              <w:t>3</w:t>
            </w:r>
          </w:p>
        </w:tc>
        <w:tc>
          <w:tcPr>
            <w:tcW w:w="993" w:type="dxa"/>
            <w:vMerge w:val="restart"/>
            <w:vAlign w:val="center"/>
          </w:tcPr>
          <w:p>
            <w:pPr>
              <w:spacing w:line="240" w:lineRule="auto"/>
              <w:jc w:val="center"/>
              <w:rPr>
                <w:rFonts w:ascii="宋体" w:hAnsi="宋体" w:cs="宋体"/>
                <w:szCs w:val="21"/>
              </w:rPr>
            </w:pPr>
            <w:r>
              <w:rPr>
                <w:rFonts w:hint="eastAsia" w:ascii="宋体" w:hAnsi="宋体" w:cs="宋体"/>
                <w:szCs w:val="21"/>
              </w:rPr>
              <w:t>施工组织设计与专项安全技术方案</w:t>
            </w:r>
          </w:p>
        </w:tc>
        <w:tc>
          <w:tcPr>
            <w:tcW w:w="993" w:type="dxa"/>
            <w:vAlign w:val="center"/>
          </w:tcPr>
          <w:p>
            <w:pPr>
              <w:spacing w:line="240" w:lineRule="auto"/>
              <w:jc w:val="center"/>
              <w:rPr>
                <w:rFonts w:ascii="宋体" w:hAnsi="宋体" w:cs="宋体"/>
                <w:szCs w:val="21"/>
              </w:rPr>
            </w:pPr>
            <w:r>
              <w:rPr>
                <w:rFonts w:hint="eastAsia" w:ascii="宋体" w:hAnsi="宋体" w:cs="宋体"/>
                <w:szCs w:val="21"/>
              </w:rPr>
              <w:t>1.3.1</w:t>
            </w:r>
          </w:p>
        </w:tc>
        <w:tc>
          <w:tcPr>
            <w:tcW w:w="5103" w:type="dxa"/>
          </w:tcPr>
          <w:p>
            <w:pPr>
              <w:spacing w:line="240" w:lineRule="auto"/>
              <w:rPr>
                <w:rFonts w:ascii="宋体" w:hAnsi="宋体" w:cs="宋体"/>
                <w:szCs w:val="21"/>
              </w:rPr>
            </w:pPr>
            <w:r>
              <w:rPr>
                <w:rFonts w:hint="eastAsia" w:ascii="宋体" w:hAnsi="宋体" w:cs="宋体"/>
                <w:szCs w:val="21"/>
              </w:rPr>
              <w:t>施工组织设计无安全技术措施</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扣4分</w:t>
            </w:r>
          </w:p>
        </w:tc>
        <w:tc>
          <w:tcPr>
            <w:tcW w:w="1304" w:type="dxa"/>
            <w:vAlign w:val="center"/>
          </w:tcPr>
          <w:p>
            <w:pPr>
              <w:spacing w:line="240" w:lineRule="auto"/>
              <w:rPr>
                <w:rFonts w:ascii="宋体" w:hAnsi="宋体" w:cs="宋体"/>
                <w:szCs w:val="21"/>
              </w:rPr>
            </w:pPr>
            <w:r>
              <w:rPr>
                <w:rFonts w:hint="eastAsia" w:ascii="宋体" w:hAnsi="宋体" w:cs="宋体"/>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46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1.3.2</w:t>
            </w:r>
          </w:p>
        </w:tc>
        <w:tc>
          <w:tcPr>
            <w:tcW w:w="5103" w:type="dxa"/>
          </w:tcPr>
          <w:p>
            <w:pPr>
              <w:spacing w:line="240" w:lineRule="auto"/>
              <w:rPr>
                <w:rFonts w:ascii="宋体" w:hAnsi="宋体" w:cs="宋体"/>
                <w:szCs w:val="21"/>
              </w:rPr>
            </w:pPr>
            <w:r>
              <w:rPr>
                <w:rFonts w:hint="eastAsia" w:ascii="宋体" w:hAnsi="宋体" w:cs="宋体"/>
                <w:szCs w:val="21"/>
              </w:rPr>
              <w:t>未编制危险性较大的分部分项工程安全专项方案</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center"/>
          </w:tcPr>
          <w:p>
            <w:pPr>
              <w:spacing w:line="240" w:lineRule="auto"/>
              <w:rPr>
                <w:rFonts w:ascii="宋体" w:hAnsi="宋体" w:cs="宋体"/>
                <w:szCs w:val="21"/>
              </w:rPr>
            </w:pPr>
            <w:r>
              <w:rPr>
                <w:rFonts w:hint="eastAsia" w:ascii="宋体" w:hAnsi="宋体" w:cs="宋体"/>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650"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1.3.3</w:t>
            </w:r>
          </w:p>
        </w:tc>
        <w:tc>
          <w:tcPr>
            <w:tcW w:w="5103" w:type="dxa"/>
          </w:tcPr>
          <w:p>
            <w:pPr>
              <w:spacing w:line="240" w:lineRule="auto"/>
              <w:rPr>
                <w:rFonts w:ascii="宋体" w:hAnsi="宋体" w:cs="宋体"/>
                <w:szCs w:val="21"/>
              </w:rPr>
            </w:pPr>
            <w:r>
              <w:rPr>
                <w:rFonts w:hint="eastAsia" w:ascii="宋体" w:hAnsi="宋体" w:cs="宋体"/>
                <w:szCs w:val="21"/>
              </w:rPr>
              <w:t>对应当组织专家论证、审查的专项方案未进行论证、审查</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center"/>
          </w:tcPr>
          <w:p>
            <w:pPr>
              <w:spacing w:line="240" w:lineRule="auto"/>
              <w:rPr>
                <w:rFonts w:ascii="宋体" w:hAnsi="宋体" w:cs="宋体"/>
                <w:szCs w:val="21"/>
              </w:rPr>
            </w:pPr>
            <w:r>
              <w:rPr>
                <w:rFonts w:hint="eastAsia" w:ascii="宋体" w:hAnsi="宋体" w:cs="宋体"/>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650"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1.3.4</w:t>
            </w:r>
          </w:p>
        </w:tc>
        <w:tc>
          <w:tcPr>
            <w:tcW w:w="5103" w:type="dxa"/>
          </w:tcPr>
          <w:p>
            <w:pPr>
              <w:spacing w:line="240" w:lineRule="auto"/>
              <w:rPr>
                <w:rFonts w:ascii="宋体" w:hAnsi="宋体" w:cs="宋体"/>
                <w:szCs w:val="21"/>
              </w:rPr>
            </w:pPr>
            <w:r>
              <w:rPr>
                <w:rFonts w:hint="eastAsia" w:ascii="宋体" w:hAnsi="宋体" w:cs="宋体"/>
                <w:szCs w:val="21"/>
              </w:rPr>
              <w:t>施工组织设计、专项方案未按规定进行审核、审批及完善</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center"/>
          </w:tcPr>
          <w:p>
            <w:pPr>
              <w:spacing w:line="240" w:lineRule="auto"/>
              <w:rPr>
                <w:rFonts w:ascii="宋体" w:hAnsi="宋体" w:cs="宋体"/>
                <w:szCs w:val="21"/>
              </w:rPr>
            </w:pPr>
            <w:r>
              <w:rPr>
                <w:rFonts w:hint="eastAsia" w:ascii="宋体" w:hAnsi="宋体" w:cs="宋体"/>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464" w:hRule="atLeast"/>
          <w:jc w:val="center"/>
        </w:trPr>
        <w:tc>
          <w:tcPr>
            <w:tcW w:w="539" w:type="dxa"/>
            <w:vMerge w:val="restart"/>
            <w:vAlign w:val="center"/>
          </w:tcPr>
          <w:p>
            <w:pPr>
              <w:spacing w:line="240" w:lineRule="auto"/>
              <w:jc w:val="center"/>
              <w:rPr>
                <w:rFonts w:ascii="宋体" w:hAnsi="宋体" w:cs="宋体"/>
                <w:szCs w:val="21"/>
              </w:rPr>
            </w:pPr>
            <w:r>
              <w:rPr>
                <w:rFonts w:hint="eastAsia" w:ascii="宋体" w:hAnsi="宋体" w:cs="宋体"/>
                <w:szCs w:val="21"/>
              </w:rPr>
              <w:t>4</w:t>
            </w:r>
          </w:p>
        </w:tc>
        <w:tc>
          <w:tcPr>
            <w:tcW w:w="993" w:type="dxa"/>
            <w:vMerge w:val="restart"/>
            <w:vAlign w:val="center"/>
          </w:tcPr>
          <w:p>
            <w:pPr>
              <w:spacing w:line="240" w:lineRule="auto"/>
              <w:jc w:val="center"/>
              <w:rPr>
                <w:rFonts w:ascii="宋体" w:hAnsi="宋体" w:cs="宋体"/>
                <w:szCs w:val="21"/>
              </w:rPr>
            </w:pPr>
            <w:r>
              <w:rPr>
                <w:rFonts w:hint="eastAsia" w:ascii="宋体" w:hAnsi="宋体" w:cs="宋体"/>
                <w:szCs w:val="21"/>
              </w:rPr>
              <w:t>安全教育和班前安全活动</w:t>
            </w:r>
          </w:p>
        </w:tc>
        <w:tc>
          <w:tcPr>
            <w:tcW w:w="993" w:type="dxa"/>
            <w:vAlign w:val="center"/>
          </w:tcPr>
          <w:p>
            <w:pPr>
              <w:spacing w:line="240" w:lineRule="auto"/>
              <w:jc w:val="center"/>
              <w:rPr>
                <w:rFonts w:ascii="宋体" w:hAnsi="宋体" w:cs="宋体"/>
                <w:szCs w:val="21"/>
              </w:rPr>
            </w:pPr>
            <w:r>
              <w:rPr>
                <w:rFonts w:hint="eastAsia" w:ascii="宋体" w:hAnsi="宋体" w:cs="宋体"/>
                <w:szCs w:val="21"/>
              </w:rPr>
              <w:t>1.4.1</w:t>
            </w:r>
          </w:p>
        </w:tc>
        <w:tc>
          <w:tcPr>
            <w:tcW w:w="5103" w:type="dxa"/>
          </w:tcPr>
          <w:p>
            <w:pPr>
              <w:spacing w:line="240" w:lineRule="auto"/>
              <w:rPr>
                <w:rFonts w:ascii="宋体" w:hAnsi="宋体" w:cs="宋体"/>
                <w:szCs w:val="21"/>
              </w:rPr>
            </w:pPr>
            <w:r>
              <w:rPr>
                <w:rFonts w:hint="eastAsia" w:ascii="宋体" w:hAnsi="宋体" w:cs="宋体"/>
                <w:szCs w:val="21"/>
              </w:rPr>
              <w:t>无书面安全技术交底</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vAlign w:val="center"/>
          </w:tcPr>
          <w:p>
            <w:pPr>
              <w:spacing w:line="240" w:lineRule="auto"/>
              <w:rPr>
                <w:rFonts w:ascii="宋体" w:hAnsi="宋体" w:cs="宋体"/>
                <w:szCs w:val="21"/>
              </w:rPr>
            </w:pPr>
            <w:r>
              <w:rPr>
                <w:rFonts w:hint="eastAsia" w:ascii="宋体" w:hAnsi="宋体" w:cs="宋体"/>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46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1.4.2</w:t>
            </w:r>
          </w:p>
        </w:tc>
        <w:tc>
          <w:tcPr>
            <w:tcW w:w="5103" w:type="dxa"/>
          </w:tcPr>
          <w:p>
            <w:pPr>
              <w:spacing w:line="240" w:lineRule="auto"/>
              <w:rPr>
                <w:rFonts w:ascii="宋体" w:hAnsi="宋体" w:cs="宋体"/>
                <w:szCs w:val="21"/>
              </w:rPr>
            </w:pPr>
            <w:r>
              <w:rPr>
                <w:rFonts w:hint="eastAsia" w:ascii="宋体" w:hAnsi="宋体" w:cs="宋体"/>
                <w:szCs w:val="21"/>
              </w:rPr>
              <w:t>交底未履行签字手续或弄虚作假</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vAlign w:val="center"/>
          </w:tcPr>
          <w:p>
            <w:pPr>
              <w:spacing w:line="240" w:lineRule="auto"/>
              <w:rPr>
                <w:rFonts w:ascii="宋体" w:hAnsi="宋体" w:cs="宋体"/>
                <w:szCs w:val="21"/>
              </w:rPr>
            </w:pPr>
            <w:r>
              <w:rPr>
                <w:rFonts w:hint="eastAsia" w:ascii="宋体" w:hAnsi="宋体" w:cs="宋体"/>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46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1.4.3</w:t>
            </w:r>
          </w:p>
        </w:tc>
        <w:tc>
          <w:tcPr>
            <w:tcW w:w="5103" w:type="dxa"/>
          </w:tcPr>
          <w:p>
            <w:pPr>
              <w:spacing w:line="240" w:lineRule="auto"/>
              <w:rPr>
                <w:rFonts w:ascii="宋体" w:hAnsi="宋体" w:cs="宋体"/>
                <w:szCs w:val="21"/>
              </w:rPr>
            </w:pPr>
            <w:r>
              <w:rPr>
                <w:rFonts w:hint="eastAsia" w:ascii="宋体" w:hAnsi="宋体" w:cs="宋体"/>
                <w:szCs w:val="21"/>
              </w:rPr>
              <w:t>未建立安全生产教育制度</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center"/>
          </w:tcPr>
          <w:p>
            <w:pPr>
              <w:spacing w:line="240" w:lineRule="auto"/>
              <w:rPr>
                <w:rFonts w:ascii="宋体" w:hAnsi="宋体" w:cs="宋体"/>
                <w:szCs w:val="21"/>
              </w:rPr>
            </w:pPr>
            <w:r>
              <w:rPr>
                <w:rFonts w:hint="eastAsia" w:ascii="宋体" w:hAnsi="宋体" w:cs="宋体"/>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650"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1.4.4</w:t>
            </w:r>
          </w:p>
        </w:tc>
        <w:tc>
          <w:tcPr>
            <w:tcW w:w="5103" w:type="dxa"/>
          </w:tcPr>
          <w:p>
            <w:pPr>
              <w:spacing w:line="240" w:lineRule="auto"/>
              <w:rPr>
                <w:rFonts w:ascii="宋体" w:hAnsi="宋体" w:cs="宋体"/>
                <w:szCs w:val="21"/>
              </w:rPr>
            </w:pPr>
            <w:r>
              <w:rPr>
                <w:rFonts w:hint="eastAsia" w:ascii="宋体" w:hAnsi="宋体" w:cs="宋体"/>
                <w:szCs w:val="21"/>
              </w:rPr>
              <w:t>未对新入场工人进行“三级”安全教育进入施工现场作业</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vAlign w:val="center"/>
          </w:tcPr>
          <w:p>
            <w:pPr>
              <w:spacing w:line="240" w:lineRule="auto"/>
              <w:rPr>
                <w:rFonts w:ascii="宋体" w:hAnsi="宋体" w:cs="宋体"/>
                <w:szCs w:val="21"/>
              </w:rPr>
            </w:pPr>
            <w:r>
              <w:rPr>
                <w:rFonts w:hint="eastAsia" w:ascii="宋体" w:hAnsi="宋体" w:cs="宋体"/>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464" w:hRule="atLeast"/>
          <w:jc w:val="center"/>
        </w:trPr>
        <w:tc>
          <w:tcPr>
            <w:tcW w:w="539" w:type="dxa"/>
            <w:vMerge w:val="restart"/>
            <w:vAlign w:val="center"/>
          </w:tcPr>
          <w:p>
            <w:pPr>
              <w:spacing w:line="240" w:lineRule="auto"/>
              <w:jc w:val="center"/>
              <w:rPr>
                <w:rFonts w:ascii="宋体" w:hAnsi="宋体" w:cs="宋体"/>
                <w:szCs w:val="21"/>
              </w:rPr>
            </w:pPr>
            <w:r>
              <w:rPr>
                <w:rFonts w:hint="eastAsia" w:ascii="宋体" w:hAnsi="宋体" w:cs="宋体"/>
                <w:szCs w:val="21"/>
              </w:rPr>
              <w:t>5</w:t>
            </w:r>
          </w:p>
        </w:tc>
        <w:tc>
          <w:tcPr>
            <w:tcW w:w="993" w:type="dxa"/>
            <w:vMerge w:val="restart"/>
            <w:vAlign w:val="center"/>
          </w:tcPr>
          <w:p>
            <w:pPr>
              <w:spacing w:line="240" w:lineRule="auto"/>
              <w:jc w:val="both"/>
              <w:rPr>
                <w:rFonts w:ascii="宋体" w:hAnsi="宋体" w:cs="宋体"/>
                <w:szCs w:val="21"/>
              </w:rPr>
            </w:pPr>
            <w:r>
              <w:rPr>
                <w:rFonts w:hint="eastAsia" w:ascii="宋体" w:hAnsi="宋体" w:cs="宋体"/>
                <w:szCs w:val="21"/>
              </w:rPr>
              <w:t>安全检查</w:t>
            </w:r>
          </w:p>
        </w:tc>
        <w:tc>
          <w:tcPr>
            <w:tcW w:w="993" w:type="dxa"/>
            <w:vAlign w:val="center"/>
          </w:tcPr>
          <w:p>
            <w:pPr>
              <w:spacing w:line="240" w:lineRule="auto"/>
              <w:jc w:val="center"/>
              <w:rPr>
                <w:rFonts w:ascii="宋体" w:hAnsi="宋体" w:cs="宋体"/>
                <w:szCs w:val="21"/>
              </w:rPr>
            </w:pPr>
            <w:r>
              <w:rPr>
                <w:rFonts w:hint="eastAsia" w:ascii="宋体" w:hAnsi="宋体" w:cs="宋体"/>
                <w:szCs w:val="21"/>
              </w:rPr>
              <w:t>1.5.1</w:t>
            </w:r>
          </w:p>
        </w:tc>
        <w:tc>
          <w:tcPr>
            <w:tcW w:w="5103" w:type="dxa"/>
          </w:tcPr>
          <w:p>
            <w:pPr>
              <w:spacing w:line="240" w:lineRule="auto"/>
              <w:rPr>
                <w:rFonts w:ascii="宋体" w:hAnsi="宋体" w:cs="宋体"/>
                <w:szCs w:val="21"/>
              </w:rPr>
            </w:pPr>
            <w:r>
              <w:rPr>
                <w:rFonts w:hint="eastAsia" w:ascii="宋体" w:hAnsi="宋体" w:cs="宋体"/>
                <w:szCs w:val="21"/>
              </w:rPr>
              <w:t>未建立安全检查制度</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center"/>
          </w:tcPr>
          <w:p>
            <w:pPr>
              <w:spacing w:line="240" w:lineRule="auto"/>
              <w:rPr>
                <w:rFonts w:ascii="宋体" w:hAnsi="宋体" w:cs="宋体"/>
                <w:szCs w:val="21"/>
              </w:rPr>
            </w:pPr>
            <w:r>
              <w:rPr>
                <w:rFonts w:hint="eastAsia" w:ascii="宋体" w:hAnsi="宋体" w:cs="宋体"/>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650"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1.5.2</w:t>
            </w:r>
          </w:p>
        </w:tc>
        <w:tc>
          <w:tcPr>
            <w:tcW w:w="5103" w:type="dxa"/>
          </w:tcPr>
          <w:p>
            <w:pPr>
              <w:spacing w:line="240" w:lineRule="auto"/>
              <w:rPr>
                <w:rFonts w:ascii="宋体" w:hAnsi="宋体" w:cs="宋体"/>
                <w:szCs w:val="21"/>
              </w:rPr>
            </w:pPr>
            <w:r>
              <w:rPr>
                <w:rFonts w:hint="eastAsia" w:ascii="宋体" w:hAnsi="宋体" w:cs="宋体"/>
                <w:szCs w:val="21"/>
              </w:rPr>
              <w:t>项目部周检、月检检查未落实或安全管理人员日常检查未落实</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center"/>
          </w:tcPr>
          <w:p>
            <w:pPr>
              <w:spacing w:line="240" w:lineRule="auto"/>
              <w:rPr>
                <w:rFonts w:ascii="宋体" w:hAnsi="宋体" w:cs="宋体"/>
                <w:szCs w:val="21"/>
              </w:rPr>
            </w:pPr>
            <w:r>
              <w:rPr>
                <w:rFonts w:hint="eastAsia" w:ascii="宋体" w:hAnsi="宋体" w:cs="宋体"/>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407"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1.5.3</w:t>
            </w:r>
          </w:p>
        </w:tc>
        <w:tc>
          <w:tcPr>
            <w:tcW w:w="5103" w:type="dxa"/>
          </w:tcPr>
          <w:p>
            <w:pPr>
              <w:spacing w:line="240" w:lineRule="auto"/>
              <w:rPr>
                <w:rFonts w:ascii="宋体" w:hAnsi="宋体" w:cs="宋体"/>
                <w:szCs w:val="21"/>
              </w:rPr>
            </w:pPr>
            <w:r>
              <w:rPr>
                <w:rFonts w:hint="eastAsia" w:ascii="宋体" w:hAnsi="宋体" w:cs="宋体"/>
                <w:szCs w:val="21"/>
              </w:rPr>
              <w:t>被责令停工整改仍然继续施工的</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tcPr>
          <w:p>
            <w:pPr>
              <w:spacing w:line="240" w:lineRule="auto"/>
              <w:rPr>
                <w:rFonts w:ascii="宋体" w:hAnsi="宋体" w:cs="宋体"/>
                <w:szCs w:val="21"/>
              </w:rPr>
            </w:pPr>
            <w:r>
              <w:rPr>
                <w:rFonts w:hint="eastAsia" w:ascii="宋体" w:hAnsi="宋体" w:cs="宋体"/>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407"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1.5.4</w:t>
            </w:r>
          </w:p>
        </w:tc>
        <w:tc>
          <w:tcPr>
            <w:tcW w:w="5103" w:type="dxa"/>
          </w:tcPr>
          <w:p>
            <w:pPr>
              <w:spacing w:line="240" w:lineRule="auto"/>
              <w:rPr>
                <w:rFonts w:ascii="宋体" w:hAnsi="宋体" w:cs="宋体"/>
                <w:szCs w:val="21"/>
              </w:rPr>
            </w:pPr>
            <w:r>
              <w:rPr>
                <w:rFonts w:hint="eastAsia" w:ascii="宋体" w:hAnsi="宋体" w:cs="宋体"/>
                <w:szCs w:val="21"/>
              </w:rPr>
              <w:t>对业主或者政府监管部门检查提出的问题不整改</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vAlign w:val="center"/>
          </w:tcPr>
          <w:p>
            <w:pPr>
              <w:spacing w:line="240" w:lineRule="auto"/>
              <w:rPr>
                <w:rFonts w:ascii="宋体" w:hAnsi="宋体" w:cs="宋体"/>
                <w:szCs w:val="21"/>
              </w:rPr>
            </w:pPr>
            <w:r>
              <w:rPr>
                <w:rFonts w:hint="eastAsia" w:ascii="宋体" w:hAnsi="宋体" w:cs="宋体"/>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46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1.5.5</w:t>
            </w:r>
          </w:p>
        </w:tc>
        <w:tc>
          <w:tcPr>
            <w:tcW w:w="5103" w:type="dxa"/>
          </w:tcPr>
          <w:p>
            <w:pPr>
              <w:spacing w:line="240" w:lineRule="auto"/>
              <w:rPr>
                <w:rFonts w:ascii="宋体" w:hAnsi="宋体" w:cs="宋体"/>
                <w:szCs w:val="21"/>
              </w:rPr>
            </w:pPr>
            <w:r>
              <w:rPr>
                <w:rFonts w:hint="eastAsia" w:ascii="宋体" w:hAnsi="宋体" w:cs="宋体"/>
                <w:szCs w:val="21"/>
              </w:rPr>
              <w:t>对业主组织的安全检查发出的整改通知单未按时回复</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center"/>
          </w:tcPr>
          <w:p>
            <w:pPr>
              <w:spacing w:line="240" w:lineRule="auto"/>
              <w:rPr>
                <w:rFonts w:ascii="宋体" w:hAnsi="宋体" w:cs="宋体"/>
                <w:szCs w:val="21"/>
              </w:rPr>
            </w:pPr>
            <w:r>
              <w:rPr>
                <w:rFonts w:hint="eastAsia" w:ascii="宋体" w:hAnsi="宋体" w:cs="宋体"/>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400" w:hRule="atLeast"/>
          <w:jc w:val="center"/>
        </w:trPr>
        <w:tc>
          <w:tcPr>
            <w:tcW w:w="539" w:type="dxa"/>
            <w:vMerge w:val="restart"/>
            <w:vAlign w:val="center"/>
          </w:tcPr>
          <w:p>
            <w:pPr>
              <w:spacing w:line="240" w:lineRule="auto"/>
              <w:jc w:val="center"/>
              <w:rPr>
                <w:rFonts w:ascii="宋体" w:hAnsi="宋体" w:cs="宋体"/>
                <w:szCs w:val="21"/>
              </w:rPr>
            </w:pPr>
            <w:r>
              <w:rPr>
                <w:rFonts w:hint="eastAsia" w:ascii="宋体" w:hAnsi="宋体" w:cs="宋体"/>
                <w:szCs w:val="21"/>
              </w:rPr>
              <w:t>6</w:t>
            </w:r>
          </w:p>
        </w:tc>
        <w:tc>
          <w:tcPr>
            <w:tcW w:w="993" w:type="dxa"/>
            <w:vMerge w:val="restart"/>
            <w:vAlign w:val="center"/>
          </w:tcPr>
          <w:p>
            <w:pPr>
              <w:spacing w:line="240" w:lineRule="auto"/>
              <w:rPr>
                <w:rFonts w:ascii="宋体" w:hAnsi="宋体" w:cs="宋体"/>
                <w:szCs w:val="21"/>
              </w:rPr>
            </w:pPr>
            <w:r>
              <w:rPr>
                <w:rFonts w:hint="eastAsia" w:ascii="宋体" w:hAnsi="宋体" w:cs="宋体"/>
                <w:szCs w:val="21"/>
              </w:rPr>
              <w:t>应急管理</w:t>
            </w:r>
          </w:p>
        </w:tc>
        <w:tc>
          <w:tcPr>
            <w:tcW w:w="993" w:type="dxa"/>
            <w:vAlign w:val="center"/>
          </w:tcPr>
          <w:p>
            <w:pPr>
              <w:spacing w:line="240" w:lineRule="auto"/>
              <w:jc w:val="center"/>
              <w:rPr>
                <w:rFonts w:ascii="宋体" w:hAnsi="宋体" w:cs="宋体"/>
                <w:szCs w:val="21"/>
              </w:rPr>
            </w:pPr>
            <w:r>
              <w:rPr>
                <w:rFonts w:hint="eastAsia" w:ascii="宋体" w:hAnsi="宋体" w:cs="宋体"/>
                <w:szCs w:val="21"/>
              </w:rPr>
              <w:t>1.6.1</w:t>
            </w:r>
          </w:p>
        </w:tc>
        <w:tc>
          <w:tcPr>
            <w:tcW w:w="5103" w:type="dxa"/>
          </w:tcPr>
          <w:p>
            <w:pPr>
              <w:spacing w:line="240" w:lineRule="auto"/>
              <w:rPr>
                <w:rFonts w:ascii="宋体" w:hAnsi="宋体" w:cs="宋体"/>
                <w:szCs w:val="21"/>
              </w:rPr>
            </w:pPr>
            <w:r>
              <w:rPr>
                <w:rFonts w:hint="eastAsia" w:ascii="宋体" w:hAnsi="宋体" w:cs="宋体"/>
                <w:szCs w:val="21"/>
              </w:rPr>
              <w:t>未制定安全生产事故应急救援预案</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tcPr>
          <w:p>
            <w:pPr>
              <w:spacing w:line="240" w:lineRule="auto"/>
              <w:rPr>
                <w:rFonts w:ascii="宋体" w:hAnsi="宋体" w:cs="宋体"/>
                <w:szCs w:val="21"/>
              </w:rPr>
            </w:pPr>
            <w:r>
              <w:rPr>
                <w:rFonts w:hint="eastAsia" w:ascii="宋体" w:hAnsi="宋体" w:cs="宋体"/>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1" w:type="dxa"/>
            <w:left w:w="107" w:type="dxa"/>
            <w:bottom w:w="0" w:type="dxa"/>
            <w:right w:w="109" w:type="dxa"/>
          </w:tblCellMar>
        </w:tblPrEx>
        <w:trPr>
          <w:trHeight w:val="328"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tcPr>
          <w:p>
            <w:pPr>
              <w:spacing w:line="240" w:lineRule="auto"/>
              <w:jc w:val="center"/>
              <w:rPr>
                <w:rFonts w:ascii="宋体" w:hAnsi="宋体" w:cs="宋体"/>
                <w:szCs w:val="21"/>
              </w:rPr>
            </w:pPr>
            <w:r>
              <w:rPr>
                <w:rFonts w:hint="eastAsia" w:ascii="宋体" w:hAnsi="宋体" w:cs="宋体"/>
                <w:szCs w:val="21"/>
              </w:rPr>
              <w:t>1.6.2</w:t>
            </w:r>
          </w:p>
        </w:tc>
        <w:tc>
          <w:tcPr>
            <w:tcW w:w="5103" w:type="dxa"/>
          </w:tcPr>
          <w:p>
            <w:pPr>
              <w:spacing w:line="240" w:lineRule="auto"/>
              <w:rPr>
                <w:rFonts w:ascii="宋体" w:hAnsi="宋体" w:cs="宋体"/>
                <w:szCs w:val="21"/>
              </w:rPr>
            </w:pPr>
            <w:r>
              <w:rPr>
                <w:rFonts w:hint="eastAsia" w:ascii="宋体" w:hAnsi="宋体" w:cs="宋体"/>
                <w:szCs w:val="21"/>
              </w:rPr>
              <w:t>应急预案不全面、针对性不强</w:t>
            </w:r>
          </w:p>
        </w:tc>
        <w:tc>
          <w:tcPr>
            <w:tcW w:w="1246" w:type="dxa"/>
          </w:tcPr>
          <w:p>
            <w:pPr>
              <w:spacing w:line="240" w:lineRule="auto"/>
              <w:jc w:val="center"/>
              <w:rPr>
                <w:rFonts w:ascii="宋体" w:hAnsi="宋体" w:cs="宋体"/>
                <w:szCs w:val="21"/>
              </w:rPr>
            </w:pPr>
            <w:r>
              <w:rPr>
                <w:rFonts w:hint="eastAsia" w:ascii="宋体" w:hAnsi="宋体" w:cs="宋体"/>
                <w:szCs w:val="21"/>
              </w:rPr>
              <w:t>扣1分</w:t>
            </w:r>
          </w:p>
        </w:tc>
        <w:tc>
          <w:tcPr>
            <w:tcW w:w="1304" w:type="dxa"/>
          </w:tcPr>
          <w:p>
            <w:pPr>
              <w:spacing w:line="240" w:lineRule="auto"/>
              <w:rPr>
                <w:rFonts w:ascii="宋体" w:hAnsi="宋体" w:cs="宋体"/>
                <w:szCs w:val="21"/>
              </w:rPr>
            </w:pPr>
            <w:r>
              <w:rPr>
                <w:rFonts w:hint="eastAsia" w:ascii="宋体" w:hAnsi="宋体" w:cs="宋体"/>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327"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tcPr>
          <w:p>
            <w:pPr>
              <w:spacing w:line="240" w:lineRule="auto"/>
              <w:jc w:val="center"/>
              <w:rPr>
                <w:rFonts w:ascii="宋体" w:hAnsi="宋体" w:cs="宋体"/>
                <w:szCs w:val="21"/>
              </w:rPr>
            </w:pPr>
            <w:r>
              <w:rPr>
                <w:rFonts w:hint="eastAsia" w:ascii="宋体" w:hAnsi="宋体" w:cs="宋体"/>
                <w:szCs w:val="21"/>
              </w:rPr>
              <w:t>1.6.3</w:t>
            </w:r>
          </w:p>
        </w:tc>
        <w:tc>
          <w:tcPr>
            <w:tcW w:w="5103" w:type="dxa"/>
          </w:tcPr>
          <w:p>
            <w:pPr>
              <w:spacing w:line="240" w:lineRule="auto"/>
              <w:rPr>
                <w:rFonts w:ascii="宋体" w:hAnsi="宋体" w:cs="宋体"/>
                <w:szCs w:val="21"/>
              </w:rPr>
            </w:pPr>
            <w:r>
              <w:rPr>
                <w:rFonts w:hint="eastAsia" w:ascii="宋体" w:hAnsi="宋体" w:cs="宋体"/>
                <w:szCs w:val="21"/>
              </w:rPr>
              <w:t>未组织培训及演练</w:t>
            </w:r>
          </w:p>
        </w:tc>
        <w:tc>
          <w:tcPr>
            <w:tcW w:w="1246" w:type="dxa"/>
          </w:tcPr>
          <w:p>
            <w:pPr>
              <w:spacing w:line="240" w:lineRule="auto"/>
              <w:jc w:val="center"/>
              <w:rPr>
                <w:rFonts w:ascii="宋体" w:hAnsi="宋体" w:cs="宋体"/>
                <w:szCs w:val="21"/>
              </w:rPr>
            </w:pPr>
            <w:r>
              <w:rPr>
                <w:rFonts w:hint="eastAsia" w:ascii="宋体" w:hAnsi="宋体" w:cs="宋体"/>
                <w:szCs w:val="21"/>
              </w:rPr>
              <w:t>扣1分</w:t>
            </w:r>
          </w:p>
        </w:tc>
        <w:tc>
          <w:tcPr>
            <w:tcW w:w="1304" w:type="dxa"/>
          </w:tcPr>
          <w:p>
            <w:pPr>
              <w:spacing w:line="240" w:lineRule="auto"/>
              <w:rPr>
                <w:rFonts w:ascii="宋体" w:hAnsi="宋体" w:cs="宋体"/>
                <w:szCs w:val="21"/>
              </w:rPr>
            </w:pPr>
            <w:r>
              <w:rPr>
                <w:rFonts w:hint="eastAsia" w:ascii="宋体" w:hAnsi="宋体" w:cs="宋体"/>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500"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1.6.4</w:t>
            </w:r>
          </w:p>
        </w:tc>
        <w:tc>
          <w:tcPr>
            <w:tcW w:w="5103" w:type="dxa"/>
          </w:tcPr>
          <w:p>
            <w:pPr>
              <w:spacing w:line="240" w:lineRule="auto"/>
              <w:rPr>
                <w:rFonts w:ascii="宋体" w:hAnsi="宋体" w:cs="宋体"/>
                <w:szCs w:val="21"/>
              </w:rPr>
            </w:pPr>
            <w:r>
              <w:rPr>
                <w:rFonts w:hint="eastAsia" w:ascii="宋体" w:hAnsi="宋体" w:cs="宋体"/>
                <w:szCs w:val="21"/>
              </w:rPr>
              <w:t>未按要求配备应急救援物资、设备、器材等设施及应急逃生通道</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center"/>
          </w:tcPr>
          <w:p>
            <w:pPr>
              <w:spacing w:line="240" w:lineRule="auto"/>
              <w:rPr>
                <w:rFonts w:ascii="宋体" w:hAnsi="宋体" w:cs="宋体"/>
                <w:szCs w:val="21"/>
              </w:rPr>
            </w:pPr>
            <w:r>
              <w:rPr>
                <w:rFonts w:hint="eastAsia" w:ascii="宋体" w:hAnsi="宋体" w:cs="宋体"/>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450" w:hRule="atLeast"/>
          <w:jc w:val="center"/>
        </w:trPr>
        <w:tc>
          <w:tcPr>
            <w:tcW w:w="539" w:type="dxa"/>
            <w:vMerge w:val="restart"/>
            <w:vAlign w:val="center"/>
          </w:tcPr>
          <w:p>
            <w:pPr>
              <w:spacing w:line="240" w:lineRule="auto"/>
              <w:jc w:val="center"/>
              <w:rPr>
                <w:rFonts w:ascii="宋体" w:hAnsi="宋体" w:cs="宋体"/>
                <w:szCs w:val="21"/>
              </w:rPr>
            </w:pPr>
            <w:r>
              <w:rPr>
                <w:rFonts w:hint="eastAsia" w:ascii="宋体" w:hAnsi="宋体" w:cs="宋体"/>
                <w:szCs w:val="21"/>
              </w:rPr>
              <w:t>7</w:t>
            </w:r>
          </w:p>
        </w:tc>
        <w:tc>
          <w:tcPr>
            <w:tcW w:w="993" w:type="dxa"/>
            <w:vMerge w:val="restart"/>
            <w:vAlign w:val="center"/>
          </w:tcPr>
          <w:p>
            <w:pPr>
              <w:spacing w:line="240" w:lineRule="auto"/>
              <w:rPr>
                <w:rFonts w:ascii="宋体" w:hAnsi="宋体" w:cs="宋体"/>
                <w:szCs w:val="21"/>
              </w:rPr>
            </w:pPr>
            <w:r>
              <w:rPr>
                <w:rFonts w:hint="eastAsia" w:ascii="宋体" w:hAnsi="宋体" w:cs="宋体"/>
                <w:szCs w:val="21"/>
              </w:rPr>
              <w:t>现场环境</w:t>
            </w:r>
          </w:p>
        </w:tc>
        <w:tc>
          <w:tcPr>
            <w:tcW w:w="993" w:type="dxa"/>
            <w:vAlign w:val="center"/>
          </w:tcPr>
          <w:p>
            <w:pPr>
              <w:spacing w:line="240" w:lineRule="auto"/>
              <w:jc w:val="center"/>
              <w:rPr>
                <w:rFonts w:ascii="宋体" w:hAnsi="宋体" w:cs="宋体"/>
                <w:szCs w:val="21"/>
              </w:rPr>
            </w:pPr>
            <w:r>
              <w:rPr>
                <w:rFonts w:hint="eastAsia" w:ascii="宋体" w:hAnsi="宋体" w:cs="宋体"/>
                <w:szCs w:val="21"/>
              </w:rPr>
              <w:t>1.7.1</w:t>
            </w:r>
          </w:p>
        </w:tc>
        <w:tc>
          <w:tcPr>
            <w:tcW w:w="5103" w:type="dxa"/>
            <w:vAlign w:val="bottom"/>
          </w:tcPr>
          <w:p>
            <w:pPr>
              <w:spacing w:line="240" w:lineRule="auto"/>
              <w:rPr>
                <w:rFonts w:ascii="宋体" w:hAnsi="宋体" w:cs="宋体"/>
                <w:szCs w:val="21"/>
              </w:rPr>
            </w:pPr>
            <w:r>
              <w:rPr>
                <w:rFonts w:hint="eastAsia" w:ascii="宋体" w:hAnsi="宋体" w:cs="宋体"/>
                <w:szCs w:val="21"/>
              </w:rPr>
              <w:t>未按政府相关规定和招标文件要求设置围挡</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bottom"/>
          </w:tcPr>
          <w:p>
            <w:pPr>
              <w:spacing w:line="240" w:lineRule="auto"/>
              <w:rPr>
                <w:rFonts w:ascii="宋体" w:hAnsi="宋体" w:cs="宋体"/>
                <w:szCs w:val="21"/>
              </w:rPr>
            </w:pPr>
            <w:r>
              <w:rPr>
                <w:rFonts w:hint="eastAsia" w:ascii="宋体" w:hAnsi="宋体" w:cs="宋体"/>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63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1.7.2</w:t>
            </w:r>
          </w:p>
        </w:tc>
        <w:tc>
          <w:tcPr>
            <w:tcW w:w="5103" w:type="dxa"/>
          </w:tcPr>
          <w:p>
            <w:pPr>
              <w:spacing w:line="240" w:lineRule="auto"/>
              <w:rPr>
                <w:rFonts w:ascii="宋体" w:hAnsi="宋体" w:cs="宋体"/>
                <w:szCs w:val="21"/>
              </w:rPr>
            </w:pPr>
            <w:r>
              <w:rPr>
                <w:rFonts w:hint="eastAsia" w:ascii="宋体" w:hAnsi="宋体" w:cs="宋体"/>
                <w:szCs w:val="21"/>
              </w:rPr>
              <w:t>出入口、“五牌一图”未按规范要求设置；重大危险源、危险区域未设置安全警示标志、标牌</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bottom"/>
          </w:tcPr>
          <w:p>
            <w:pPr>
              <w:spacing w:line="240" w:lineRule="auto"/>
              <w:rPr>
                <w:rFonts w:ascii="宋体" w:hAnsi="宋体" w:cs="宋体"/>
                <w:szCs w:val="21"/>
              </w:rPr>
            </w:pPr>
            <w:r>
              <w:rPr>
                <w:rFonts w:hint="eastAsia" w:ascii="宋体" w:hAnsi="宋体" w:cs="宋体"/>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450"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1.7.3</w:t>
            </w:r>
          </w:p>
        </w:tc>
        <w:tc>
          <w:tcPr>
            <w:tcW w:w="5103" w:type="dxa"/>
            <w:vAlign w:val="center"/>
          </w:tcPr>
          <w:p>
            <w:pPr>
              <w:spacing w:line="240" w:lineRule="auto"/>
              <w:rPr>
                <w:rFonts w:ascii="宋体" w:hAnsi="宋体" w:cs="宋体"/>
                <w:szCs w:val="21"/>
              </w:rPr>
            </w:pPr>
            <w:r>
              <w:rPr>
                <w:rFonts w:hint="eastAsia" w:ascii="宋体" w:hAnsi="宋体" w:cs="宋体"/>
                <w:szCs w:val="21"/>
              </w:rPr>
              <w:t>施工现场主要道路、加工区地面未按要求硬化处理；</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bottom"/>
          </w:tcPr>
          <w:p>
            <w:pPr>
              <w:spacing w:line="240" w:lineRule="auto"/>
              <w:rPr>
                <w:rFonts w:ascii="宋体" w:hAnsi="宋体" w:cs="宋体"/>
                <w:szCs w:val="21"/>
              </w:rPr>
            </w:pPr>
            <w:r>
              <w:rPr>
                <w:rFonts w:hint="eastAsia" w:ascii="宋体" w:hAnsi="宋体" w:cs="宋体"/>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63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1.7.4</w:t>
            </w:r>
          </w:p>
        </w:tc>
        <w:tc>
          <w:tcPr>
            <w:tcW w:w="5103" w:type="dxa"/>
          </w:tcPr>
          <w:p>
            <w:pPr>
              <w:spacing w:line="240" w:lineRule="auto"/>
              <w:rPr>
                <w:rFonts w:ascii="宋体" w:hAnsi="宋体" w:cs="宋体"/>
                <w:szCs w:val="21"/>
              </w:rPr>
            </w:pPr>
            <w:r>
              <w:rPr>
                <w:rFonts w:hint="eastAsia" w:ascii="宋体" w:hAnsi="宋体" w:cs="宋体"/>
                <w:szCs w:val="21"/>
              </w:rPr>
              <w:t>办公区、生活区与作业区未按规范设置；厨卫等后勤人员未按要求持证上岗</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bottom"/>
          </w:tcPr>
          <w:p>
            <w:pPr>
              <w:spacing w:line="240" w:lineRule="auto"/>
              <w:rPr>
                <w:rFonts w:ascii="宋体" w:hAnsi="宋体" w:cs="宋体"/>
                <w:szCs w:val="21"/>
              </w:rPr>
            </w:pPr>
            <w:r>
              <w:rPr>
                <w:rFonts w:hint="eastAsia" w:ascii="宋体" w:hAnsi="宋体" w:cs="宋体"/>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450"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1.7.5</w:t>
            </w:r>
          </w:p>
        </w:tc>
        <w:tc>
          <w:tcPr>
            <w:tcW w:w="5103" w:type="dxa"/>
            <w:vAlign w:val="center"/>
          </w:tcPr>
          <w:p>
            <w:pPr>
              <w:spacing w:line="240" w:lineRule="auto"/>
              <w:rPr>
                <w:rFonts w:ascii="宋体" w:hAnsi="宋体" w:cs="宋体"/>
                <w:szCs w:val="21"/>
              </w:rPr>
            </w:pPr>
            <w:r>
              <w:rPr>
                <w:rFonts w:hint="eastAsia" w:ascii="宋体" w:hAnsi="宋体" w:cs="宋体"/>
                <w:szCs w:val="21"/>
              </w:rPr>
              <w:t>未按要求设置洗车池或采取冲洗等措施</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bottom"/>
          </w:tcPr>
          <w:p>
            <w:pPr>
              <w:spacing w:line="240" w:lineRule="auto"/>
              <w:rPr>
                <w:rFonts w:ascii="宋体" w:hAnsi="宋体" w:cs="宋体"/>
                <w:szCs w:val="21"/>
              </w:rPr>
            </w:pPr>
            <w:r>
              <w:rPr>
                <w:rFonts w:hint="eastAsia" w:ascii="宋体" w:hAnsi="宋体" w:cs="宋体"/>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450"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1.7.6</w:t>
            </w:r>
          </w:p>
        </w:tc>
        <w:tc>
          <w:tcPr>
            <w:tcW w:w="5103" w:type="dxa"/>
            <w:vAlign w:val="center"/>
          </w:tcPr>
          <w:p>
            <w:pPr>
              <w:spacing w:line="240" w:lineRule="auto"/>
              <w:rPr>
                <w:rFonts w:ascii="宋体" w:hAnsi="宋体" w:cs="宋体"/>
                <w:szCs w:val="21"/>
              </w:rPr>
            </w:pPr>
            <w:r>
              <w:rPr>
                <w:rFonts w:hint="eastAsia" w:ascii="宋体" w:hAnsi="宋体" w:cs="宋体"/>
                <w:szCs w:val="21"/>
              </w:rPr>
              <w:t>未按要求设置喷雾、喷淋设施或采取洒水等措施</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bottom"/>
          </w:tcPr>
          <w:p>
            <w:pPr>
              <w:spacing w:line="240" w:lineRule="auto"/>
              <w:rPr>
                <w:rFonts w:ascii="宋体" w:hAnsi="宋体" w:cs="宋体"/>
                <w:szCs w:val="21"/>
              </w:rPr>
            </w:pPr>
            <w:r>
              <w:rPr>
                <w:rFonts w:hint="eastAsia" w:ascii="宋体" w:hAnsi="宋体" w:cs="宋体"/>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450"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1.7.7</w:t>
            </w:r>
          </w:p>
        </w:tc>
        <w:tc>
          <w:tcPr>
            <w:tcW w:w="5103" w:type="dxa"/>
            <w:vAlign w:val="center"/>
          </w:tcPr>
          <w:p>
            <w:pPr>
              <w:spacing w:line="240" w:lineRule="auto"/>
              <w:rPr>
                <w:rFonts w:ascii="宋体" w:hAnsi="宋体" w:cs="宋体"/>
                <w:szCs w:val="21"/>
              </w:rPr>
            </w:pPr>
            <w:r>
              <w:rPr>
                <w:rFonts w:hint="eastAsia" w:ascii="宋体" w:hAnsi="宋体" w:cs="宋体"/>
                <w:szCs w:val="21"/>
              </w:rPr>
              <w:t>未按要求对裸露泥地进行绿化、铺装或遮盖、覆盖</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bottom"/>
          </w:tcPr>
          <w:p>
            <w:pPr>
              <w:spacing w:line="240" w:lineRule="auto"/>
              <w:rPr>
                <w:rFonts w:ascii="宋体" w:hAnsi="宋体" w:cs="宋体"/>
                <w:szCs w:val="21"/>
              </w:rPr>
            </w:pPr>
            <w:r>
              <w:rPr>
                <w:rFonts w:hint="eastAsia" w:ascii="宋体" w:hAnsi="宋体" w:cs="宋体"/>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63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1.7.8</w:t>
            </w:r>
          </w:p>
        </w:tc>
        <w:tc>
          <w:tcPr>
            <w:tcW w:w="5103" w:type="dxa"/>
          </w:tcPr>
          <w:p>
            <w:pPr>
              <w:spacing w:line="240" w:lineRule="auto"/>
              <w:rPr>
                <w:rFonts w:ascii="宋体" w:hAnsi="宋体" w:cs="宋体"/>
                <w:szCs w:val="21"/>
              </w:rPr>
            </w:pPr>
            <w:r>
              <w:rPr>
                <w:rFonts w:hint="eastAsia" w:ascii="宋体" w:hAnsi="宋体" w:cs="宋体"/>
                <w:szCs w:val="21"/>
              </w:rPr>
              <w:t>现场材料码放混乱；未标明名称、规格；未采取防火、防锈蚀、防雨等措施</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bottom"/>
          </w:tcPr>
          <w:p>
            <w:pPr>
              <w:spacing w:line="240" w:lineRule="auto"/>
              <w:rPr>
                <w:rFonts w:ascii="宋体" w:hAnsi="宋体" w:cs="宋体"/>
                <w:szCs w:val="21"/>
              </w:rPr>
            </w:pPr>
            <w:r>
              <w:rPr>
                <w:rFonts w:hint="eastAsia" w:ascii="宋体" w:hAnsi="宋体" w:cs="宋体"/>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392" w:hRule="atLeast"/>
          <w:jc w:val="center"/>
        </w:trPr>
        <w:tc>
          <w:tcPr>
            <w:tcW w:w="539" w:type="dxa"/>
            <w:vMerge w:val="restart"/>
            <w:vAlign w:val="center"/>
          </w:tcPr>
          <w:p>
            <w:pPr>
              <w:spacing w:line="240" w:lineRule="auto"/>
              <w:jc w:val="center"/>
              <w:rPr>
                <w:rFonts w:ascii="宋体" w:hAnsi="宋体" w:cs="宋体"/>
                <w:szCs w:val="21"/>
              </w:rPr>
            </w:pPr>
            <w:r>
              <w:rPr>
                <w:rFonts w:hint="eastAsia" w:ascii="宋体" w:hAnsi="宋体" w:cs="宋体"/>
                <w:szCs w:val="21"/>
              </w:rPr>
              <w:t>8</w:t>
            </w:r>
          </w:p>
        </w:tc>
        <w:tc>
          <w:tcPr>
            <w:tcW w:w="993" w:type="dxa"/>
            <w:vMerge w:val="restart"/>
            <w:vAlign w:val="center"/>
          </w:tcPr>
          <w:p>
            <w:pPr>
              <w:spacing w:line="240" w:lineRule="auto"/>
              <w:rPr>
                <w:rFonts w:ascii="宋体" w:hAnsi="宋体" w:cs="宋体"/>
                <w:szCs w:val="21"/>
              </w:rPr>
            </w:pPr>
            <w:r>
              <w:rPr>
                <w:rFonts w:hint="eastAsia" w:ascii="宋体" w:hAnsi="宋体" w:cs="宋体"/>
                <w:szCs w:val="21"/>
              </w:rPr>
              <w:t>安全防护</w:t>
            </w:r>
          </w:p>
        </w:tc>
        <w:tc>
          <w:tcPr>
            <w:tcW w:w="993" w:type="dxa"/>
            <w:vAlign w:val="center"/>
          </w:tcPr>
          <w:p>
            <w:pPr>
              <w:spacing w:line="240" w:lineRule="auto"/>
              <w:jc w:val="center"/>
              <w:rPr>
                <w:rFonts w:ascii="宋体" w:hAnsi="宋体" w:cs="宋体"/>
                <w:szCs w:val="21"/>
              </w:rPr>
            </w:pPr>
            <w:r>
              <w:rPr>
                <w:rFonts w:hint="eastAsia" w:ascii="宋体" w:hAnsi="宋体" w:cs="宋体"/>
                <w:szCs w:val="21"/>
              </w:rPr>
              <w:t>1.8.1</w:t>
            </w:r>
          </w:p>
        </w:tc>
        <w:tc>
          <w:tcPr>
            <w:tcW w:w="5103" w:type="dxa"/>
          </w:tcPr>
          <w:p>
            <w:pPr>
              <w:spacing w:line="240" w:lineRule="auto"/>
              <w:rPr>
                <w:rFonts w:ascii="宋体" w:hAnsi="宋体" w:cs="宋体"/>
                <w:szCs w:val="21"/>
              </w:rPr>
            </w:pPr>
            <w:r>
              <w:rPr>
                <w:rFonts w:hint="eastAsia" w:ascii="宋体" w:hAnsi="宋体" w:cs="宋体"/>
                <w:szCs w:val="21"/>
              </w:rPr>
              <w:t>未正确使用配戴安全帽、安全带</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tcPr>
          <w:p>
            <w:pPr>
              <w:spacing w:line="240" w:lineRule="auto"/>
              <w:rPr>
                <w:rFonts w:ascii="宋体" w:hAnsi="宋体" w:cs="宋体"/>
                <w:szCs w:val="21"/>
              </w:rPr>
            </w:pPr>
            <w:r>
              <w:rPr>
                <w:rFonts w:hint="eastAsia" w:ascii="宋体" w:hAnsi="宋体" w:cs="宋体"/>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392"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1.8.2</w:t>
            </w:r>
          </w:p>
        </w:tc>
        <w:tc>
          <w:tcPr>
            <w:tcW w:w="5103" w:type="dxa"/>
          </w:tcPr>
          <w:p>
            <w:pPr>
              <w:spacing w:line="240" w:lineRule="auto"/>
              <w:rPr>
                <w:rFonts w:ascii="宋体" w:hAnsi="宋体" w:cs="宋体"/>
                <w:szCs w:val="21"/>
              </w:rPr>
            </w:pPr>
            <w:r>
              <w:rPr>
                <w:rFonts w:hint="eastAsia" w:ascii="宋体" w:hAnsi="宋体" w:cs="宋体"/>
                <w:szCs w:val="21"/>
              </w:rPr>
              <w:t>“四口、五临边”防护不到位</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tcPr>
          <w:p>
            <w:pPr>
              <w:spacing w:line="240" w:lineRule="auto"/>
              <w:rPr>
                <w:rFonts w:ascii="宋体" w:hAnsi="宋体" w:cs="宋体"/>
                <w:szCs w:val="21"/>
              </w:rPr>
            </w:pPr>
            <w:r>
              <w:rPr>
                <w:rFonts w:hint="eastAsia" w:ascii="宋体" w:hAnsi="宋体" w:cs="宋体"/>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946"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1.8.3</w:t>
            </w:r>
          </w:p>
        </w:tc>
        <w:tc>
          <w:tcPr>
            <w:tcW w:w="5103" w:type="dxa"/>
          </w:tcPr>
          <w:p>
            <w:pPr>
              <w:spacing w:line="240" w:lineRule="auto"/>
              <w:rPr>
                <w:rFonts w:ascii="宋体" w:hAnsi="宋体" w:cs="宋体"/>
                <w:szCs w:val="21"/>
              </w:rPr>
            </w:pPr>
            <w:r>
              <w:rPr>
                <w:rFonts w:hint="eastAsia" w:ascii="宋体" w:hAnsi="宋体" w:cs="宋体"/>
                <w:szCs w:val="21"/>
              </w:rPr>
              <w:t>楼梯、上下斜道、安全通道搭设不符合规范及使用安全要求；通道口、钢筋加工场地等防护棚搭设不符合规范及安全要求</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center"/>
          </w:tcPr>
          <w:p>
            <w:pPr>
              <w:spacing w:line="240" w:lineRule="auto"/>
              <w:rPr>
                <w:rFonts w:ascii="宋体" w:hAnsi="宋体" w:cs="宋体"/>
                <w:szCs w:val="21"/>
              </w:rPr>
            </w:pPr>
            <w:r>
              <w:rPr>
                <w:rFonts w:hint="eastAsia" w:ascii="宋体" w:hAnsi="宋体" w:cs="宋体"/>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63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1.8.4</w:t>
            </w:r>
          </w:p>
        </w:tc>
        <w:tc>
          <w:tcPr>
            <w:tcW w:w="5103" w:type="dxa"/>
          </w:tcPr>
          <w:p>
            <w:pPr>
              <w:spacing w:line="240" w:lineRule="auto"/>
              <w:rPr>
                <w:rFonts w:ascii="宋体" w:hAnsi="宋体" w:cs="宋体"/>
                <w:szCs w:val="21"/>
              </w:rPr>
            </w:pPr>
            <w:r>
              <w:rPr>
                <w:rFonts w:hint="eastAsia" w:ascii="宋体" w:hAnsi="宋体" w:cs="宋体"/>
                <w:szCs w:val="21"/>
              </w:rPr>
              <w:t>临边堆物高度及距离不符合规范要求，堆放有易坠落的钢筋等杂物</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vAlign w:val="center"/>
          </w:tcPr>
          <w:p>
            <w:pPr>
              <w:spacing w:line="240" w:lineRule="auto"/>
              <w:rPr>
                <w:rFonts w:ascii="宋体" w:hAnsi="宋体" w:cs="宋体"/>
                <w:szCs w:val="21"/>
              </w:rPr>
            </w:pPr>
            <w:r>
              <w:rPr>
                <w:rFonts w:hint="eastAsia" w:ascii="宋体" w:hAnsi="宋体" w:cs="宋体"/>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330"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tcPr>
          <w:p>
            <w:pPr>
              <w:spacing w:line="240" w:lineRule="auto"/>
              <w:jc w:val="center"/>
              <w:rPr>
                <w:rFonts w:ascii="宋体" w:hAnsi="宋体" w:cs="宋体"/>
                <w:szCs w:val="21"/>
              </w:rPr>
            </w:pPr>
            <w:r>
              <w:rPr>
                <w:rFonts w:hint="eastAsia" w:ascii="宋体" w:hAnsi="宋体" w:cs="宋体"/>
                <w:szCs w:val="21"/>
              </w:rPr>
              <w:t>1.8.5</w:t>
            </w:r>
          </w:p>
        </w:tc>
        <w:tc>
          <w:tcPr>
            <w:tcW w:w="5103" w:type="dxa"/>
          </w:tcPr>
          <w:p>
            <w:pPr>
              <w:spacing w:line="240" w:lineRule="auto"/>
              <w:rPr>
                <w:rFonts w:ascii="宋体" w:hAnsi="宋体" w:cs="宋体"/>
                <w:szCs w:val="21"/>
              </w:rPr>
            </w:pPr>
            <w:r>
              <w:rPr>
                <w:rFonts w:hint="eastAsia" w:ascii="宋体" w:hAnsi="宋体" w:cs="宋体"/>
                <w:szCs w:val="21"/>
              </w:rPr>
              <w:t>在建工程外侧未用密目式安全网封闭</w:t>
            </w:r>
          </w:p>
        </w:tc>
        <w:tc>
          <w:tcPr>
            <w:tcW w:w="1246" w:type="dxa"/>
          </w:tcPr>
          <w:p>
            <w:pPr>
              <w:spacing w:line="240" w:lineRule="auto"/>
              <w:jc w:val="center"/>
              <w:rPr>
                <w:rFonts w:ascii="宋体" w:hAnsi="宋体" w:cs="宋体"/>
                <w:szCs w:val="21"/>
              </w:rPr>
            </w:pPr>
            <w:r>
              <w:rPr>
                <w:rFonts w:hint="eastAsia" w:ascii="宋体" w:hAnsi="宋体" w:cs="宋体"/>
                <w:szCs w:val="21"/>
              </w:rPr>
              <w:t>扣2分</w:t>
            </w:r>
          </w:p>
        </w:tc>
        <w:tc>
          <w:tcPr>
            <w:tcW w:w="1304" w:type="dxa"/>
          </w:tcPr>
          <w:p>
            <w:pPr>
              <w:spacing w:line="240" w:lineRule="auto"/>
              <w:rPr>
                <w:rFonts w:ascii="宋体" w:hAnsi="宋体" w:cs="宋体"/>
                <w:szCs w:val="21"/>
              </w:rPr>
            </w:pPr>
            <w:r>
              <w:rPr>
                <w:rFonts w:hint="eastAsia" w:ascii="宋体" w:hAnsi="宋体" w:cs="宋体"/>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327"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tcPr>
          <w:p>
            <w:pPr>
              <w:spacing w:line="240" w:lineRule="auto"/>
              <w:jc w:val="center"/>
              <w:rPr>
                <w:rFonts w:ascii="宋体" w:hAnsi="宋体" w:cs="宋体"/>
                <w:szCs w:val="21"/>
              </w:rPr>
            </w:pPr>
            <w:r>
              <w:rPr>
                <w:rFonts w:hint="eastAsia" w:ascii="宋体" w:hAnsi="宋体" w:cs="宋体"/>
                <w:szCs w:val="21"/>
              </w:rPr>
              <w:t>1.8.6</w:t>
            </w:r>
          </w:p>
        </w:tc>
        <w:tc>
          <w:tcPr>
            <w:tcW w:w="5103" w:type="dxa"/>
          </w:tcPr>
          <w:p>
            <w:pPr>
              <w:spacing w:line="240" w:lineRule="auto"/>
              <w:rPr>
                <w:rFonts w:ascii="宋体" w:hAnsi="宋体" w:cs="宋体"/>
                <w:szCs w:val="21"/>
              </w:rPr>
            </w:pPr>
            <w:r>
              <w:rPr>
                <w:rFonts w:hint="eastAsia" w:ascii="宋体" w:hAnsi="宋体" w:cs="宋体"/>
                <w:szCs w:val="21"/>
              </w:rPr>
              <w:t>高处作业未系安全带，每人</w:t>
            </w:r>
          </w:p>
        </w:tc>
        <w:tc>
          <w:tcPr>
            <w:tcW w:w="1246" w:type="dxa"/>
          </w:tcPr>
          <w:p>
            <w:pPr>
              <w:spacing w:line="240" w:lineRule="auto"/>
              <w:jc w:val="center"/>
              <w:rPr>
                <w:rFonts w:ascii="宋体" w:hAnsi="宋体" w:cs="宋体"/>
                <w:szCs w:val="21"/>
              </w:rPr>
            </w:pPr>
            <w:r>
              <w:rPr>
                <w:rFonts w:hint="eastAsia" w:ascii="宋体" w:hAnsi="宋体" w:cs="宋体"/>
                <w:szCs w:val="21"/>
              </w:rPr>
              <w:t>扣2分</w:t>
            </w:r>
          </w:p>
        </w:tc>
        <w:tc>
          <w:tcPr>
            <w:tcW w:w="1304" w:type="dxa"/>
          </w:tcPr>
          <w:p>
            <w:pPr>
              <w:spacing w:line="240" w:lineRule="auto"/>
              <w:rPr>
                <w:rFonts w:ascii="宋体" w:hAnsi="宋体" w:cs="宋体"/>
                <w:szCs w:val="21"/>
              </w:rPr>
            </w:pPr>
            <w:r>
              <w:rPr>
                <w:rFonts w:hint="eastAsia" w:ascii="宋体" w:hAnsi="宋体" w:cs="宋体"/>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330" w:hRule="atLeast"/>
          <w:jc w:val="center"/>
        </w:trPr>
        <w:tc>
          <w:tcPr>
            <w:tcW w:w="539" w:type="dxa"/>
            <w:vMerge w:val="restart"/>
            <w:vAlign w:val="center"/>
          </w:tcPr>
          <w:p>
            <w:pPr>
              <w:spacing w:line="240" w:lineRule="auto"/>
              <w:jc w:val="center"/>
              <w:rPr>
                <w:rFonts w:ascii="宋体" w:hAnsi="宋体" w:cs="宋体"/>
                <w:szCs w:val="21"/>
              </w:rPr>
            </w:pPr>
            <w:r>
              <w:rPr>
                <w:rFonts w:hint="eastAsia" w:ascii="宋体" w:hAnsi="宋体" w:cs="宋体"/>
                <w:szCs w:val="21"/>
              </w:rPr>
              <w:t>9</w:t>
            </w:r>
          </w:p>
        </w:tc>
        <w:tc>
          <w:tcPr>
            <w:tcW w:w="993" w:type="dxa"/>
            <w:vMerge w:val="restart"/>
            <w:vAlign w:val="center"/>
          </w:tcPr>
          <w:p>
            <w:pPr>
              <w:spacing w:line="240" w:lineRule="auto"/>
              <w:rPr>
                <w:rFonts w:ascii="宋体" w:hAnsi="宋体" w:cs="宋体"/>
                <w:szCs w:val="21"/>
              </w:rPr>
            </w:pPr>
            <w:r>
              <w:rPr>
                <w:rFonts w:hint="eastAsia" w:ascii="宋体" w:hAnsi="宋体" w:cs="宋体"/>
                <w:szCs w:val="21"/>
              </w:rPr>
              <w:t>用电管理</w:t>
            </w:r>
          </w:p>
        </w:tc>
        <w:tc>
          <w:tcPr>
            <w:tcW w:w="993" w:type="dxa"/>
          </w:tcPr>
          <w:p>
            <w:pPr>
              <w:spacing w:line="240" w:lineRule="auto"/>
              <w:jc w:val="center"/>
              <w:rPr>
                <w:rFonts w:ascii="宋体" w:hAnsi="宋体" w:cs="宋体"/>
                <w:szCs w:val="21"/>
              </w:rPr>
            </w:pPr>
            <w:r>
              <w:rPr>
                <w:rFonts w:hint="eastAsia" w:ascii="宋体" w:hAnsi="宋体" w:cs="宋体"/>
                <w:szCs w:val="21"/>
              </w:rPr>
              <w:t>1.9.1</w:t>
            </w:r>
          </w:p>
        </w:tc>
        <w:tc>
          <w:tcPr>
            <w:tcW w:w="5103" w:type="dxa"/>
          </w:tcPr>
          <w:p>
            <w:pPr>
              <w:spacing w:line="240" w:lineRule="auto"/>
              <w:rPr>
                <w:rFonts w:ascii="宋体" w:hAnsi="宋体" w:cs="宋体"/>
                <w:szCs w:val="21"/>
              </w:rPr>
            </w:pPr>
            <w:r>
              <w:rPr>
                <w:rFonts w:hint="eastAsia" w:ascii="宋体" w:hAnsi="宋体" w:cs="宋体"/>
                <w:szCs w:val="21"/>
              </w:rPr>
              <w:t>无专项用电施工组织设计</w:t>
            </w:r>
          </w:p>
        </w:tc>
        <w:tc>
          <w:tcPr>
            <w:tcW w:w="1246" w:type="dxa"/>
          </w:tcPr>
          <w:p>
            <w:pPr>
              <w:spacing w:line="240" w:lineRule="auto"/>
              <w:jc w:val="center"/>
              <w:rPr>
                <w:rFonts w:ascii="宋体" w:hAnsi="宋体" w:cs="宋体"/>
                <w:szCs w:val="21"/>
              </w:rPr>
            </w:pPr>
            <w:r>
              <w:rPr>
                <w:rFonts w:hint="eastAsia" w:ascii="宋体" w:hAnsi="宋体" w:cs="宋体"/>
                <w:szCs w:val="21"/>
              </w:rPr>
              <w:t>扣2分</w:t>
            </w:r>
          </w:p>
        </w:tc>
        <w:tc>
          <w:tcPr>
            <w:tcW w:w="1304" w:type="dxa"/>
          </w:tcPr>
          <w:p>
            <w:pPr>
              <w:spacing w:line="240" w:lineRule="auto"/>
              <w:rPr>
                <w:rFonts w:ascii="宋体" w:hAnsi="宋体" w:cs="宋体"/>
                <w:szCs w:val="21"/>
              </w:rPr>
            </w:pPr>
            <w:r>
              <w:rPr>
                <w:rFonts w:hint="eastAsia" w:ascii="宋体" w:hAnsi="宋体" w:cs="宋体"/>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650"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1.9.2</w:t>
            </w:r>
          </w:p>
        </w:tc>
        <w:tc>
          <w:tcPr>
            <w:tcW w:w="5103" w:type="dxa"/>
          </w:tcPr>
          <w:p>
            <w:pPr>
              <w:spacing w:line="240" w:lineRule="auto"/>
              <w:rPr>
                <w:rFonts w:ascii="宋体" w:hAnsi="宋体" w:cs="宋体"/>
                <w:szCs w:val="21"/>
              </w:rPr>
            </w:pPr>
            <w:r>
              <w:rPr>
                <w:rFonts w:hint="eastAsia" w:ascii="宋体" w:hAnsi="宋体" w:cs="宋体"/>
                <w:szCs w:val="21"/>
              </w:rPr>
              <w:t>临时用电组织设计不符合“编制、审核、批准”工作要求</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center"/>
          </w:tcPr>
          <w:p>
            <w:pPr>
              <w:spacing w:line="240" w:lineRule="auto"/>
              <w:rPr>
                <w:rFonts w:ascii="宋体" w:hAnsi="宋体" w:cs="宋体"/>
                <w:szCs w:val="21"/>
              </w:rPr>
            </w:pPr>
            <w:r>
              <w:rPr>
                <w:rFonts w:hint="eastAsia" w:ascii="宋体" w:hAnsi="宋体" w:cs="宋体"/>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327"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tcPr>
          <w:p>
            <w:pPr>
              <w:spacing w:line="240" w:lineRule="auto"/>
              <w:jc w:val="center"/>
              <w:rPr>
                <w:rFonts w:ascii="宋体" w:hAnsi="宋体" w:cs="宋体"/>
                <w:szCs w:val="21"/>
              </w:rPr>
            </w:pPr>
            <w:r>
              <w:rPr>
                <w:rFonts w:hint="eastAsia" w:ascii="宋体" w:hAnsi="宋体" w:cs="宋体"/>
                <w:szCs w:val="21"/>
              </w:rPr>
              <w:t>1.9.3</w:t>
            </w:r>
          </w:p>
        </w:tc>
        <w:tc>
          <w:tcPr>
            <w:tcW w:w="5103" w:type="dxa"/>
          </w:tcPr>
          <w:p>
            <w:pPr>
              <w:spacing w:line="240" w:lineRule="auto"/>
              <w:rPr>
                <w:rFonts w:ascii="宋体" w:hAnsi="宋体" w:cs="宋体"/>
                <w:szCs w:val="21"/>
              </w:rPr>
            </w:pPr>
            <w:r>
              <w:rPr>
                <w:rFonts w:hint="eastAsia" w:ascii="宋体" w:hAnsi="宋体" w:cs="宋体"/>
                <w:szCs w:val="21"/>
              </w:rPr>
              <w:t>用电档案乱、内容不全、无专人管理</w:t>
            </w:r>
          </w:p>
        </w:tc>
        <w:tc>
          <w:tcPr>
            <w:tcW w:w="1246" w:type="dxa"/>
          </w:tcPr>
          <w:p>
            <w:pPr>
              <w:spacing w:line="240" w:lineRule="auto"/>
              <w:jc w:val="center"/>
              <w:rPr>
                <w:rFonts w:ascii="宋体" w:hAnsi="宋体" w:cs="宋体"/>
                <w:szCs w:val="21"/>
              </w:rPr>
            </w:pPr>
            <w:r>
              <w:rPr>
                <w:rFonts w:hint="eastAsia" w:ascii="宋体" w:hAnsi="宋体" w:cs="宋体"/>
                <w:szCs w:val="21"/>
              </w:rPr>
              <w:t>扣2分</w:t>
            </w:r>
          </w:p>
        </w:tc>
        <w:tc>
          <w:tcPr>
            <w:tcW w:w="1304" w:type="dxa"/>
          </w:tcPr>
          <w:p>
            <w:pPr>
              <w:spacing w:line="240" w:lineRule="auto"/>
              <w:rPr>
                <w:rFonts w:ascii="宋体" w:hAnsi="宋体" w:cs="宋体"/>
                <w:szCs w:val="21"/>
              </w:rPr>
            </w:pPr>
            <w:r>
              <w:rPr>
                <w:rFonts w:hint="eastAsia" w:ascii="宋体" w:hAnsi="宋体" w:cs="宋体"/>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1258"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1.9.4</w:t>
            </w:r>
          </w:p>
        </w:tc>
        <w:tc>
          <w:tcPr>
            <w:tcW w:w="5103" w:type="dxa"/>
          </w:tcPr>
          <w:p>
            <w:pPr>
              <w:spacing w:line="240" w:lineRule="auto"/>
              <w:rPr>
                <w:rFonts w:ascii="宋体" w:hAnsi="宋体" w:cs="宋体"/>
                <w:szCs w:val="21"/>
              </w:rPr>
            </w:pPr>
            <w:r>
              <w:rPr>
                <w:rFonts w:hint="eastAsia" w:ascii="宋体" w:hAnsi="宋体" w:cs="宋体"/>
                <w:szCs w:val="21"/>
              </w:rPr>
              <w:t>外电线路与在建工程的设备、构筑物、施工机械等未保证最小安全距离，未采取防护隔离措施；外电架空线路正下方有施工、作业棚、生活设施或构件、架具、材料等杂物</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vAlign w:val="center"/>
          </w:tcPr>
          <w:p>
            <w:pPr>
              <w:spacing w:line="240" w:lineRule="auto"/>
              <w:rPr>
                <w:rFonts w:ascii="宋体" w:hAnsi="宋体" w:cs="宋体"/>
                <w:szCs w:val="21"/>
              </w:rPr>
            </w:pPr>
            <w:r>
              <w:rPr>
                <w:rFonts w:hint="eastAsia" w:ascii="宋体" w:hAnsi="宋体" w:cs="宋体"/>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1570"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1.9.5</w:t>
            </w:r>
          </w:p>
        </w:tc>
        <w:tc>
          <w:tcPr>
            <w:tcW w:w="5103" w:type="dxa"/>
          </w:tcPr>
          <w:p>
            <w:pPr>
              <w:spacing w:line="240" w:lineRule="auto"/>
              <w:rPr>
                <w:rFonts w:ascii="宋体" w:hAnsi="宋体" w:cs="宋体"/>
                <w:szCs w:val="21"/>
              </w:rPr>
            </w:pPr>
            <w:r>
              <w:rPr>
                <w:rFonts w:hint="eastAsia" w:ascii="宋体" w:hAnsi="宋体" w:cs="宋体"/>
                <w:szCs w:val="21"/>
              </w:rPr>
              <w:t>未采用三级配电、两级漏电保护系统；配电室及总配电箱，总、分配电箱和开关箱的安装及维护不符合规范要求；违反“一机、一闸、一漏、一箱、一锁”；每台用电设备未按要求设置专用开关箱，存在“一闸多用”现象</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vAlign w:val="center"/>
          </w:tcPr>
          <w:p>
            <w:pPr>
              <w:spacing w:line="240" w:lineRule="auto"/>
              <w:rPr>
                <w:rFonts w:ascii="宋体" w:hAnsi="宋体" w:cs="宋体"/>
                <w:szCs w:val="21"/>
              </w:rPr>
            </w:pPr>
            <w:r>
              <w:rPr>
                <w:rFonts w:hint="eastAsia" w:ascii="宋体" w:hAnsi="宋体" w:cs="宋体"/>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566"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1.9.6</w:t>
            </w:r>
          </w:p>
        </w:tc>
        <w:tc>
          <w:tcPr>
            <w:tcW w:w="5103" w:type="dxa"/>
          </w:tcPr>
          <w:p>
            <w:pPr>
              <w:spacing w:line="240" w:lineRule="auto"/>
              <w:rPr>
                <w:rFonts w:ascii="宋体" w:hAnsi="宋体" w:cs="宋体"/>
                <w:szCs w:val="21"/>
              </w:rPr>
            </w:pPr>
            <w:r>
              <w:rPr>
                <w:rFonts w:hint="eastAsia" w:ascii="宋体" w:hAnsi="宋体" w:cs="宋体"/>
                <w:szCs w:val="21"/>
              </w:rPr>
              <w:t>手持电动工具、水泵、交流电焊机、施工升降机、塔式起重机等用电机具、机械未按照规范要求用电；未采用手动双向转换开关作为控制电器</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center"/>
          </w:tcPr>
          <w:p>
            <w:pPr>
              <w:spacing w:line="240" w:lineRule="auto"/>
              <w:rPr>
                <w:rFonts w:ascii="宋体" w:hAnsi="宋体" w:cs="宋体"/>
                <w:szCs w:val="21"/>
              </w:rPr>
            </w:pPr>
            <w:r>
              <w:rPr>
                <w:rFonts w:hint="eastAsia" w:ascii="宋体" w:hAnsi="宋体" w:cs="宋体"/>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131"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1.9.7</w:t>
            </w:r>
          </w:p>
        </w:tc>
        <w:tc>
          <w:tcPr>
            <w:tcW w:w="5103" w:type="dxa"/>
          </w:tcPr>
          <w:p>
            <w:pPr>
              <w:spacing w:line="240" w:lineRule="auto"/>
              <w:rPr>
                <w:rFonts w:ascii="宋体" w:hAnsi="宋体" w:cs="宋体"/>
                <w:szCs w:val="21"/>
              </w:rPr>
            </w:pPr>
            <w:r>
              <w:rPr>
                <w:rFonts w:hint="eastAsia" w:ascii="宋体" w:hAnsi="宋体" w:cs="宋体"/>
                <w:szCs w:val="21"/>
              </w:rPr>
              <w:t>办公、生活用房和职工宿舍在进线处未按照规范要求安装电源箱、漏电保护器和限流保护器</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center"/>
          </w:tcPr>
          <w:p>
            <w:pPr>
              <w:spacing w:line="240" w:lineRule="auto"/>
              <w:rPr>
                <w:rFonts w:ascii="宋体" w:hAnsi="宋体" w:cs="宋体"/>
                <w:szCs w:val="21"/>
              </w:rPr>
            </w:pPr>
            <w:r>
              <w:rPr>
                <w:rFonts w:hint="eastAsia" w:ascii="宋体" w:hAnsi="宋体" w:cs="宋体"/>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634" w:hRule="atLeast"/>
          <w:jc w:val="center"/>
        </w:trPr>
        <w:tc>
          <w:tcPr>
            <w:tcW w:w="539" w:type="dxa"/>
            <w:vMerge w:val="restart"/>
            <w:vAlign w:val="center"/>
          </w:tcPr>
          <w:p>
            <w:pPr>
              <w:spacing w:line="240" w:lineRule="auto"/>
              <w:jc w:val="center"/>
              <w:rPr>
                <w:rFonts w:ascii="宋体" w:hAnsi="宋体" w:cs="宋体"/>
                <w:szCs w:val="21"/>
              </w:rPr>
            </w:pPr>
            <w:r>
              <w:rPr>
                <w:rFonts w:hint="eastAsia" w:ascii="宋体" w:hAnsi="宋体" w:cs="宋体"/>
                <w:szCs w:val="21"/>
              </w:rPr>
              <w:t>10</w:t>
            </w:r>
          </w:p>
        </w:tc>
        <w:tc>
          <w:tcPr>
            <w:tcW w:w="993" w:type="dxa"/>
            <w:vMerge w:val="restart"/>
            <w:vAlign w:val="center"/>
          </w:tcPr>
          <w:p>
            <w:pPr>
              <w:spacing w:line="240" w:lineRule="auto"/>
              <w:rPr>
                <w:rFonts w:ascii="宋体" w:hAnsi="宋体" w:cs="宋体"/>
                <w:szCs w:val="21"/>
              </w:rPr>
            </w:pPr>
            <w:r>
              <w:rPr>
                <w:rFonts w:hint="eastAsia" w:ascii="宋体" w:hAnsi="宋体" w:cs="宋体"/>
                <w:szCs w:val="21"/>
              </w:rPr>
              <w:t>机械设备</w:t>
            </w:r>
          </w:p>
        </w:tc>
        <w:tc>
          <w:tcPr>
            <w:tcW w:w="993" w:type="dxa"/>
            <w:vAlign w:val="center"/>
          </w:tcPr>
          <w:p>
            <w:pPr>
              <w:spacing w:line="240" w:lineRule="auto"/>
              <w:jc w:val="center"/>
              <w:rPr>
                <w:rFonts w:ascii="宋体" w:hAnsi="宋体" w:cs="宋体"/>
                <w:szCs w:val="21"/>
              </w:rPr>
            </w:pPr>
            <w:r>
              <w:rPr>
                <w:rFonts w:hint="eastAsia" w:ascii="宋体" w:hAnsi="宋体" w:cs="宋体"/>
                <w:szCs w:val="21"/>
              </w:rPr>
              <w:t>1.10.1</w:t>
            </w:r>
          </w:p>
        </w:tc>
        <w:tc>
          <w:tcPr>
            <w:tcW w:w="5103" w:type="dxa"/>
          </w:tcPr>
          <w:p>
            <w:pPr>
              <w:spacing w:line="240" w:lineRule="auto"/>
              <w:rPr>
                <w:rFonts w:ascii="宋体" w:hAnsi="宋体" w:cs="宋体"/>
                <w:szCs w:val="21"/>
              </w:rPr>
            </w:pPr>
            <w:r>
              <w:rPr>
                <w:rFonts w:hint="eastAsia" w:ascii="宋体" w:hAnsi="宋体" w:cs="宋体"/>
                <w:szCs w:val="21"/>
              </w:rPr>
              <w:t>特种作业人员未取得安全生产监督部门认可的资格证书的。</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vAlign w:val="center"/>
          </w:tcPr>
          <w:p>
            <w:pPr>
              <w:spacing w:line="240" w:lineRule="auto"/>
              <w:rPr>
                <w:rFonts w:ascii="宋体" w:hAnsi="宋体" w:cs="宋体"/>
                <w:szCs w:val="21"/>
              </w:rPr>
            </w:pPr>
            <w:r>
              <w:rPr>
                <w:rFonts w:hint="eastAsia" w:ascii="宋体" w:hAnsi="宋体" w:cs="宋体"/>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63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1.10.2</w:t>
            </w:r>
          </w:p>
        </w:tc>
        <w:tc>
          <w:tcPr>
            <w:tcW w:w="5103" w:type="dxa"/>
          </w:tcPr>
          <w:p>
            <w:pPr>
              <w:spacing w:line="240" w:lineRule="auto"/>
              <w:rPr>
                <w:rFonts w:ascii="宋体" w:hAnsi="宋体" w:cs="宋体"/>
                <w:szCs w:val="21"/>
              </w:rPr>
            </w:pPr>
            <w:r>
              <w:rPr>
                <w:rFonts w:hint="eastAsia" w:ascii="宋体" w:hAnsi="宋体" w:cs="宋体"/>
                <w:szCs w:val="21"/>
              </w:rPr>
              <w:t>危险性较大分部分项工程未按规定编制安全专项施工方案，审核审批不符合有关要求进行施工。</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扣4分</w:t>
            </w:r>
          </w:p>
        </w:tc>
        <w:tc>
          <w:tcPr>
            <w:tcW w:w="1304" w:type="dxa"/>
            <w:vAlign w:val="center"/>
          </w:tcPr>
          <w:p>
            <w:pPr>
              <w:spacing w:line="240" w:lineRule="auto"/>
              <w:rPr>
                <w:rFonts w:ascii="宋体" w:hAnsi="宋体" w:cs="宋体"/>
                <w:szCs w:val="21"/>
              </w:rPr>
            </w:pPr>
            <w:r>
              <w:rPr>
                <w:rFonts w:hint="eastAsia" w:ascii="宋体" w:hAnsi="宋体" w:cs="宋体"/>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63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1.10.3</w:t>
            </w:r>
          </w:p>
        </w:tc>
        <w:tc>
          <w:tcPr>
            <w:tcW w:w="5103" w:type="dxa"/>
          </w:tcPr>
          <w:p>
            <w:pPr>
              <w:spacing w:line="240" w:lineRule="auto"/>
              <w:rPr>
                <w:rFonts w:ascii="宋体" w:hAnsi="宋体" w:cs="宋体"/>
                <w:szCs w:val="21"/>
              </w:rPr>
            </w:pPr>
            <w:r>
              <w:rPr>
                <w:rFonts w:hint="eastAsia" w:ascii="宋体" w:hAnsi="宋体" w:cs="宋体"/>
                <w:szCs w:val="21"/>
              </w:rPr>
              <w:t>使用不合格施工机械、未验收或者验收不合格的脚手架、模板、自升式架设设施或相应材料未进行送检。</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扣4分</w:t>
            </w:r>
          </w:p>
        </w:tc>
        <w:tc>
          <w:tcPr>
            <w:tcW w:w="1304" w:type="dxa"/>
            <w:vAlign w:val="center"/>
          </w:tcPr>
          <w:p>
            <w:pPr>
              <w:spacing w:line="240" w:lineRule="auto"/>
              <w:rPr>
                <w:rFonts w:ascii="宋体" w:hAnsi="宋体" w:cs="宋体"/>
                <w:szCs w:val="21"/>
              </w:rPr>
            </w:pPr>
            <w:r>
              <w:rPr>
                <w:rFonts w:hint="eastAsia" w:ascii="宋体" w:hAnsi="宋体" w:cs="宋体"/>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63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1.10.4</w:t>
            </w:r>
          </w:p>
        </w:tc>
        <w:tc>
          <w:tcPr>
            <w:tcW w:w="5103" w:type="dxa"/>
          </w:tcPr>
          <w:p>
            <w:pPr>
              <w:spacing w:line="240" w:lineRule="auto"/>
              <w:rPr>
                <w:rFonts w:ascii="宋体" w:hAnsi="宋体" w:cs="宋体"/>
                <w:szCs w:val="21"/>
              </w:rPr>
            </w:pPr>
            <w:r>
              <w:rPr>
                <w:rFonts w:hint="eastAsia" w:ascii="宋体" w:hAnsi="宋体" w:cs="宋体"/>
                <w:szCs w:val="21"/>
              </w:rPr>
              <w:t>建筑起重机械未按规定办理相关手续的（包括产权备案、安装告知、使用登记、拆卸告知的任一项）。</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扣4分</w:t>
            </w:r>
          </w:p>
        </w:tc>
        <w:tc>
          <w:tcPr>
            <w:tcW w:w="1304" w:type="dxa"/>
            <w:vAlign w:val="center"/>
          </w:tcPr>
          <w:p>
            <w:pPr>
              <w:spacing w:line="240" w:lineRule="auto"/>
              <w:rPr>
                <w:rFonts w:ascii="宋体" w:hAnsi="宋体" w:cs="宋体"/>
                <w:szCs w:val="21"/>
              </w:rPr>
            </w:pPr>
            <w:r>
              <w:rPr>
                <w:rFonts w:hint="eastAsia" w:ascii="宋体" w:hAnsi="宋体" w:cs="宋体"/>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63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1.10.5</w:t>
            </w:r>
          </w:p>
        </w:tc>
        <w:tc>
          <w:tcPr>
            <w:tcW w:w="5103" w:type="dxa"/>
          </w:tcPr>
          <w:p>
            <w:pPr>
              <w:spacing w:line="240" w:lineRule="auto"/>
              <w:rPr>
                <w:rFonts w:ascii="宋体" w:hAnsi="宋体" w:cs="宋体"/>
                <w:szCs w:val="21"/>
              </w:rPr>
            </w:pPr>
            <w:r>
              <w:rPr>
                <w:rFonts w:hint="eastAsia" w:ascii="宋体" w:hAnsi="宋体" w:cs="宋体"/>
                <w:szCs w:val="21"/>
              </w:rPr>
              <w:t>建筑起重机械（含施工电梯防坠安全器）未经法定检验机构检验检测合格或检验检测已过期投入使用的。</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扣4分</w:t>
            </w:r>
          </w:p>
        </w:tc>
        <w:tc>
          <w:tcPr>
            <w:tcW w:w="1304" w:type="dxa"/>
            <w:vAlign w:val="center"/>
          </w:tcPr>
          <w:p>
            <w:pPr>
              <w:spacing w:line="240" w:lineRule="auto"/>
              <w:rPr>
                <w:rFonts w:ascii="宋体" w:hAnsi="宋体" w:cs="宋体"/>
                <w:szCs w:val="21"/>
              </w:rPr>
            </w:pPr>
            <w:r>
              <w:rPr>
                <w:rFonts w:hint="eastAsia" w:ascii="宋体" w:hAnsi="宋体" w:cs="宋体"/>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63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1.10.6</w:t>
            </w:r>
          </w:p>
        </w:tc>
        <w:tc>
          <w:tcPr>
            <w:tcW w:w="5103" w:type="dxa"/>
          </w:tcPr>
          <w:p>
            <w:pPr>
              <w:spacing w:line="240" w:lineRule="auto"/>
              <w:rPr>
                <w:rFonts w:ascii="宋体" w:hAnsi="宋体" w:cs="宋体"/>
                <w:szCs w:val="21"/>
              </w:rPr>
            </w:pPr>
            <w:r>
              <w:rPr>
                <w:rFonts w:hint="eastAsia" w:ascii="宋体" w:hAnsi="宋体" w:cs="宋体"/>
                <w:szCs w:val="21"/>
              </w:rPr>
              <w:t>起重机械安装、顶升加节、拆卸作业时无专业技术人员或专职安全生产管理人员现场监督。</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vAlign w:val="center"/>
          </w:tcPr>
          <w:p>
            <w:pPr>
              <w:spacing w:line="240" w:lineRule="auto"/>
              <w:rPr>
                <w:rFonts w:ascii="宋体" w:hAnsi="宋体" w:cs="宋体"/>
                <w:szCs w:val="21"/>
              </w:rPr>
            </w:pPr>
            <w:r>
              <w:rPr>
                <w:rFonts w:hint="eastAsia" w:ascii="宋体" w:hAnsi="宋体" w:cs="宋体"/>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392"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1.10.7</w:t>
            </w:r>
          </w:p>
        </w:tc>
        <w:tc>
          <w:tcPr>
            <w:tcW w:w="5103" w:type="dxa"/>
          </w:tcPr>
          <w:p>
            <w:pPr>
              <w:spacing w:line="240" w:lineRule="auto"/>
              <w:rPr>
                <w:rFonts w:ascii="宋体" w:hAnsi="宋体" w:cs="宋体"/>
                <w:szCs w:val="21"/>
              </w:rPr>
            </w:pPr>
            <w:r>
              <w:rPr>
                <w:rFonts w:hint="eastAsia" w:ascii="宋体" w:hAnsi="宋体" w:cs="宋体"/>
                <w:szCs w:val="21"/>
              </w:rPr>
              <w:t>塔吊、物料提升机等设备安装、拆卸前无安全技术交底</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tcPr>
          <w:p>
            <w:pPr>
              <w:spacing w:line="240" w:lineRule="auto"/>
              <w:rPr>
                <w:rFonts w:ascii="宋体" w:hAnsi="宋体" w:cs="宋体"/>
                <w:szCs w:val="21"/>
              </w:rPr>
            </w:pPr>
            <w:r>
              <w:rPr>
                <w:rFonts w:hint="eastAsia" w:ascii="宋体" w:hAnsi="宋体" w:cs="宋体"/>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392"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1.10.8</w:t>
            </w:r>
          </w:p>
        </w:tc>
        <w:tc>
          <w:tcPr>
            <w:tcW w:w="5103" w:type="dxa"/>
          </w:tcPr>
          <w:p>
            <w:pPr>
              <w:spacing w:line="240" w:lineRule="auto"/>
              <w:rPr>
                <w:rFonts w:ascii="宋体" w:hAnsi="宋体" w:cs="宋体"/>
                <w:szCs w:val="21"/>
              </w:rPr>
            </w:pPr>
            <w:r>
              <w:rPr>
                <w:rFonts w:hint="eastAsia" w:ascii="宋体" w:hAnsi="宋体" w:cs="宋体"/>
                <w:szCs w:val="21"/>
              </w:rPr>
              <w:t>设备安装、拆除单位没有相应资质</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tcPr>
          <w:p>
            <w:pPr>
              <w:spacing w:line="240" w:lineRule="auto"/>
              <w:rPr>
                <w:rFonts w:ascii="宋体" w:hAnsi="宋体" w:cs="宋体"/>
                <w:szCs w:val="21"/>
              </w:rPr>
            </w:pPr>
            <w:r>
              <w:rPr>
                <w:rFonts w:hint="eastAsia" w:ascii="宋体" w:hAnsi="宋体" w:cs="宋体"/>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392"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1.10.9</w:t>
            </w:r>
          </w:p>
        </w:tc>
        <w:tc>
          <w:tcPr>
            <w:tcW w:w="5103" w:type="dxa"/>
          </w:tcPr>
          <w:p>
            <w:pPr>
              <w:spacing w:line="240" w:lineRule="auto"/>
              <w:rPr>
                <w:rFonts w:ascii="宋体" w:hAnsi="宋体" w:cs="宋体"/>
                <w:szCs w:val="21"/>
              </w:rPr>
            </w:pPr>
            <w:r>
              <w:rPr>
                <w:rFonts w:hint="eastAsia" w:ascii="宋体" w:hAnsi="宋体" w:cs="宋体"/>
                <w:szCs w:val="21"/>
              </w:rPr>
              <w:t>违规乘坐吊篮上下</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tcPr>
          <w:p>
            <w:pPr>
              <w:spacing w:line="240" w:lineRule="auto"/>
              <w:rPr>
                <w:rFonts w:ascii="宋体" w:hAnsi="宋体" w:cs="宋体"/>
                <w:szCs w:val="21"/>
              </w:rPr>
            </w:pPr>
            <w:r>
              <w:rPr>
                <w:rFonts w:hint="eastAsia" w:ascii="宋体" w:hAnsi="宋体" w:cs="宋体"/>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392"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1.10.10</w:t>
            </w:r>
          </w:p>
        </w:tc>
        <w:tc>
          <w:tcPr>
            <w:tcW w:w="5103" w:type="dxa"/>
          </w:tcPr>
          <w:p>
            <w:pPr>
              <w:spacing w:line="240" w:lineRule="auto"/>
              <w:rPr>
                <w:rFonts w:ascii="宋体" w:hAnsi="宋体" w:cs="宋体"/>
                <w:szCs w:val="21"/>
              </w:rPr>
            </w:pPr>
            <w:r>
              <w:rPr>
                <w:rFonts w:hint="eastAsia" w:ascii="宋体" w:hAnsi="宋体" w:cs="宋体"/>
                <w:szCs w:val="21"/>
              </w:rPr>
              <w:t>钢丝绳磨损严重，已超过报废标准未报废</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扣4分</w:t>
            </w:r>
          </w:p>
        </w:tc>
        <w:tc>
          <w:tcPr>
            <w:tcW w:w="1304" w:type="dxa"/>
          </w:tcPr>
          <w:p>
            <w:pPr>
              <w:spacing w:line="240" w:lineRule="auto"/>
              <w:rPr>
                <w:rFonts w:ascii="宋体" w:hAnsi="宋体" w:cs="宋体"/>
                <w:szCs w:val="21"/>
              </w:rPr>
            </w:pPr>
            <w:r>
              <w:rPr>
                <w:rFonts w:hint="eastAsia" w:ascii="宋体" w:hAnsi="宋体" w:cs="宋体"/>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650"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1.10.11</w:t>
            </w:r>
          </w:p>
        </w:tc>
        <w:tc>
          <w:tcPr>
            <w:tcW w:w="5103" w:type="dxa"/>
          </w:tcPr>
          <w:p>
            <w:pPr>
              <w:spacing w:line="240" w:lineRule="auto"/>
              <w:rPr>
                <w:rFonts w:ascii="宋体" w:hAnsi="宋体" w:cs="宋体"/>
                <w:szCs w:val="21"/>
              </w:rPr>
            </w:pPr>
            <w:r>
              <w:rPr>
                <w:rFonts w:hint="eastAsia" w:ascii="宋体" w:hAnsi="宋体" w:cs="宋体"/>
                <w:szCs w:val="21"/>
              </w:rPr>
              <w:t>塔吊、外用电梯在避雷保护范围外无避雷装置或避雷装置不符合要求</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center"/>
          </w:tcPr>
          <w:p>
            <w:pPr>
              <w:spacing w:line="240" w:lineRule="auto"/>
              <w:rPr>
                <w:rFonts w:ascii="宋体" w:hAnsi="宋体" w:cs="宋体"/>
                <w:szCs w:val="21"/>
              </w:rPr>
            </w:pPr>
            <w:r>
              <w:rPr>
                <w:rFonts w:hint="eastAsia" w:ascii="宋体" w:hAnsi="宋体" w:cs="宋体"/>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392" w:hRule="atLeast"/>
          <w:jc w:val="center"/>
        </w:trPr>
        <w:tc>
          <w:tcPr>
            <w:tcW w:w="539" w:type="dxa"/>
            <w:vMerge w:val="restart"/>
            <w:vAlign w:val="center"/>
          </w:tcPr>
          <w:p>
            <w:pPr>
              <w:spacing w:line="240" w:lineRule="auto"/>
              <w:jc w:val="center"/>
              <w:rPr>
                <w:rFonts w:ascii="宋体" w:hAnsi="宋体" w:cs="宋体"/>
                <w:szCs w:val="21"/>
              </w:rPr>
            </w:pPr>
            <w:r>
              <w:rPr>
                <w:rFonts w:hint="eastAsia" w:ascii="宋体" w:hAnsi="宋体" w:cs="宋体"/>
                <w:szCs w:val="21"/>
              </w:rPr>
              <w:t>11</w:t>
            </w:r>
          </w:p>
        </w:tc>
        <w:tc>
          <w:tcPr>
            <w:tcW w:w="993" w:type="dxa"/>
            <w:vMerge w:val="restart"/>
            <w:vAlign w:val="center"/>
          </w:tcPr>
          <w:p>
            <w:pPr>
              <w:spacing w:line="240" w:lineRule="auto"/>
              <w:rPr>
                <w:rFonts w:ascii="宋体" w:hAnsi="宋体" w:cs="宋体"/>
                <w:szCs w:val="21"/>
              </w:rPr>
            </w:pPr>
            <w:r>
              <w:rPr>
                <w:rFonts w:hint="eastAsia" w:ascii="宋体" w:hAnsi="宋体" w:cs="宋体"/>
                <w:szCs w:val="21"/>
              </w:rPr>
              <w:t>消防安全</w:t>
            </w:r>
          </w:p>
        </w:tc>
        <w:tc>
          <w:tcPr>
            <w:tcW w:w="993" w:type="dxa"/>
            <w:vAlign w:val="center"/>
          </w:tcPr>
          <w:p>
            <w:pPr>
              <w:spacing w:line="240" w:lineRule="auto"/>
              <w:jc w:val="center"/>
              <w:rPr>
                <w:rFonts w:ascii="宋体" w:hAnsi="宋体" w:cs="宋体"/>
                <w:szCs w:val="21"/>
              </w:rPr>
            </w:pPr>
            <w:r>
              <w:rPr>
                <w:rFonts w:hint="eastAsia" w:ascii="宋体" w:hAnsi="宋体" w:cs="宋体"/>
                <w:szCs w:val="21"/>
              </w:rPr>
              <w:t>1.11.1</w:t>
            </w:r>
          </w:p>
        </w:tc>
        <w:tc>
          <w:tcPr>
            <w:tcW w:w="5103" w:type="dxa"/>
          </w:tcPr>
          <w:p>
            <w:pPr>
              <w:spacing w:line="240" w:lineRule="auto"/>
              <w:rPr>
                <w:rFonts w:ascii="宋体" w:hAnsi="宋体" w:cs="宋体"/>
                <w:szCs w:val="21"/>
              </w:rPr>
            </w:pPr>
            <w:r>
              <w:rPr>
                <w:rFonts w:hint="eastAsia" w:ascii="宋体" w:hAnsi="宋体" w:cs="宋体"/>
                <w:szCs w:val="21"/>
              </w:rPr>
              <w:t>无消防安全制度</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tcPr>
          <w:p>
            <w:pPr>
              <w:spacing w:line="240" w:lineRule="auto"/>
              <w:rPr>
                <w:rFonts w:ascii="宋体" w:hAnsi="宋体" w:cs="宋体"/>
                <w:szCs w:val="21"/>
              </w:rPr>
            </w:pPr>
            <w:r>
              <w:rPr>
                <w:rFonts w:hint="eastAsia" w:ascii="宋体" w:hAnsi="宋体" w:cs="宋体"/>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392"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1.11.2</w:t>
            </w:r>
          </w:p>
        </w:tc>
        <w:tc>
          <w:tcPr>
            <w:tcW w:w="5103" w:type="dxa"/>
          </w:tcPr>
          <w:p>
            <w:pPr>
              <w:spacing w:line="240" w:lineRule="auto"/>
              <w:rPr>
                <w:rFonts w:ascii="宋体" w:hAnsi="宋体" w:cs="宋体"/>
                <w:szCs w:val="21"/>
              </w:rPr>
            </w:pPr>
            <w:r>
              <w:rPr>
                <w:rFonts w:hint="eastAsia" w:ascii="宋体" w:hAnsi="宋体" w:cs="宋体"/>
                <w:szCs w:val="21"/>
              </w:rPr>
              <w:t>工棚和板房未使用防火材料</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tcPr>
          <w:p>
            <w:pPr>
              <w:spacing w:line="240" w:lineRule="auto"/>
              <w:rPr>
                <w:rFonts w:ascii="宋体" w:hAnsi="宋体" w:cs="宋体"/>
                <w:szCs w:val="21"/>
              </w:rPr>
            </w:pPr>
            <w:r>
              <w:rPr>
                <w:rFonts w:hint="eastAsia" w:ascii="宋体" w:hAnsi="宋体" w:cs="宋体"/>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63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1.11.3</w:t>
            </w:r>
          </w:p>
        </w:tc>
        <w:tc>
          <w:tcPr>
            <w:tcW w:w="5103" w:type="dxa"/>
          </w:tcPr>
          <w:p>
            <w:pPr>
              <w:spacing w:line="240" w:lineRule="auto"/>
              <w:rPr>
                <w:rFonts w:ascii="宋体" w:hAnsi="宋体" w:cs="宋体"/>
                <w:szCs w:val="21"/>
              </w:rPr>
            </w:pPr>
            <w:r>
              <w:rPr>
                <w:rFonts w:hint="eastAsia" w:ascii="宋体" w:hAnsi="宋体" w:cs="宋体"/>
                <w:szCs w:val="21"/>
              </w:rPr>
              <w:t>未设置消防通道、消防水源；配备的灭火器材数量不满足规范要求，欠压失效</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vAlign w:val="bottom"/>
          </w:tcPr>
          <w:p>
            <w:pPr>
              <w:spacing w:line="240" w:lineRule="auto"/>
              <w:rPr>
                <w:rFonts w:ascii="宋体" w:hAnsi="宋体" w:cs="宋体"/>
                <w:szCs w:val="21"/>
              </w:rPr>
            </w:pPr>
            <w:r>
              <w:rPr>
                <w:rFonts w:hint="eastAsia" w:ascii="宋体" w:hAnsi="宋体" w:cs="宋体"/>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63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1.11.4</w:t>
            </w:r>
          </w:p>
        </w:tc>
        <w:tc>
          <w:tcPr>
            <w:tcW w:w="5103" w:type="dxa"/>
          </w:tcPr>
          <w:p>
            <w:pPr>
              <w:spacing w:line="240" w:lineRule="auto"/>
              <w:rPr>
                <w:rFonts w:ascii="宋体" w:hAnsi="宋体" w:cs="宋体"/>
                <w:szCs w:val="21"/>
              </w:rPr>
            </w:pPr>
            <w:r>
              <w:rPr>
                <w:rFonts w:hint="eastAsia" w:ascii="宋体" w:hAnsi="宋体" w:cs="宋体"/>
                <w:szCs w:val="21"/>
              </w:rPr>
              <w:t>临时住房内使用电炉、碘钨灯、热得快等大功率用电设备，未安装限流器</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vAlign w:val="bottom"/>
          </w:tcPr>
          <w:p>
            <w:pPr>
              <w:spacing w:line="240" w:lineRule="auto"/>
              <w:rPr>
                <w:rFonts w:ascii="宋体" w:hAnsi="宋体" w:cs="宋体"/>
                <w:szCs w:val="21"/>
              </w:rPr>
            </w:pPr>
            <w:r>
              <w:rPr>
                <w:rFonts w:hint="eastAsia" w:ascii="宋体" w:hAnsi="宋体" w:cs="宋体"/>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450"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1.11.5</w:t>
            </w:r>
          </w:p>
        </w:tc>
        <w:tc>
          <w:tcPr>
            <w:tcW w:w="5103" w:type="dxa"/>
            <w:vAlign w:val="center"/>
          </w:tcPr>
          <w:p>
            <w:pPr>
              <w:spacing w:line="240" w:lineRule="auto"/>
              <w:rPr>
                <w:rFonts w:ascii="宋体" w:hAnsi="宋体" w:cs="宋体"/>
                <w:szCs w:val="21"/>
              </w:rPr>
            </w:pPr>
            <w:r>
              <w:rPr>
                <w:rFonts w:hint="eastAsia" w:ascii="宋体" w:hAnsi="宋体" w:cs="宋体"/>
                <w:szCs w:val="21"/>
              </w:rPr>
              <w:t>动火作业前没有履行报批手续</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bottom"/>
          </w:tcPr>
          <w:p>
            <w:pPr>
              <w:spacing w:line="240" w:lineRule="auto"/>
              <w:rPr>
                <w:rFonts w:ascii="宋体" w:hAnsi="宋体" w:cs="宋体"/>
                <w:szCs w:val="21"/>
              </w:rPr>
            </w:pPr>
            <w:r>
              <w:rPr>
                <w:rFonts w:hint="eastAsia" w:ascii="宋体" w:hAnsi="宋体" w:cs="宋体"/>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634"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1.11.6</w:t>
            </w:r>
          </w:p>
        </w:tc>
        <w:tc>
          <w:tcPr>
            <w:tcW w:w="5103" w:type="dxa"/>
          </w:tcPr>
          <w:p>
            <w:pPr>
              <w:spacing w:line="240" w:lineRule="auto"/>
              <w:rPr>
                <w:rFonts w:ascii="宋体" w:hAnsi="宋体" w:cs="宋体"/>
                <w:szCs w:val="21"/>
              </w:rPr>
            </w:pPr>
            <w:r>
              <w:rPr>
                <w:rFonts w:hint="eastAsia" w:ascii="宋体" w:hAnsi="宋体" w:cs="宋体"/>
                <w:szCs w:val="21"/>
              </w:rPr>
              <w:t>氧气、乙炔等气瓶使用不符合规范要求，乙炔瓶未安装回火防止器</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bottom"/>
          </w:tcPr>
          <w:p>
            <w:pPr>
              <w:spacing w:line="240" w:lineRule="auto"/>
              <w:rPr>
                <w:rFonts w:ascii="宋体" w:hAnsi="宋体" w:cs="宋体"/>
                <w:szCs w:val="21"/>
              </w:rPr>
            </w:pPr>
            <w:r>
              <w:rPr>
                <w:rFonts w:hint="eastAsia" w:ascii="宋体" w:hAnsi="宋体" w:cs="宋体"/>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450"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1.11.7</w:t>
            </w:r>
          </w:p>
        </w:tc>
        <w:tc>
          <w:tcPr>
            <w:tcW w:w="5103" w:type="dxa"/>
            <w:vAlign w:val="center"/>
          </w:tcPr>
          <w:p>
            <w:pPr>
              <w:spacing w:line="240" w:lineRule="auto"/>
              <w:rPr>
                <w:rFonts w:ascii="宋体" w:hAnsi="宋体" w:cs="宋体"/>
                <w:szCs w:val="21"/>
              </w:rPr>
            </w:pPr>
            <w:r>
              <w:rPr>
                <w:rFonts w:hint="eastAsia" w:ascii="宋体" w:hAnsi="宋体" w:cs="宋体"/>
                <w:szCs w:val="21"/>
              </w:rPr>
              <w:t>未按要求编制夜间专项施工方案，并按规定审批</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扣2分</w:t>
            </w:r>
          </w:p>
        </w:tc>
        <w:tc>
          <w:tcPr>
            <w:tcW w:w="1304" w:type="dxa"/>
            <w:vAlign w:val="bottom"/>
          </w:tcPr>
          <w:p>
            <w:pPr>
              <w:spacing w:line="240" w:lineRule="auto"/>
              <w:rPr>
                <w:rFonts w:ascii="宋体" w:hAnsi="宋体" w:cs="宋体"/>
                <w:szCs w:val="21"/>
              </w:rPr>
            </w:pPr>
            <w:r>
              <w:rPr>
                <w:rFonts w:hint="eastAsia" w:ascii="宋体" w:hAnsi="宋体" w:cs="宋体"/>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107" w:type="dxa"/>
            <w:bottom w:w="24" w:type="dxa"/>
            <w:right w:w="8" w:type="dxa"/>
          </w:tblCellMar>
        </w:tblPrEx>
        <w:trPr>
          <w:trHeight w:val="450" w:hRule="atLeast"/>
          <w:jc w:val="center"/>
        </w:trPr>
        <w:tc>
          <w:tcPr>
            <w:tcW w:w="539" w:type="dxa"/>
            <w:vMerge w:val="continue"/>
          </w:tcPr>
          <w:p>
            <w:pPr>
              <w:spacing w:line="240" w:lineRule="auto"/>
              <w:rPr>
                <w:rFonts w:ascii="宋体" w:hAnsi="宋体" w:cs="宋体"/>
                <w:szCs w:val="21"/>
              </w:rPr>
            </w:pPr>
          </w:p>
        </w:tc>
        <w:tc>
          <w:tcPr>
            <w:tcW w:w="993" w:type="dxa"/>
            <w:vMerge w:val="continue"/>
          </w:tcPr>
          <w:p>
            <w:pPr>
              <w:spacing w:line="240" w:lineRule="auto"/>
              <w:rPr>
                <w:rFonts w:ascii="宋体" w:hAnsi="宋体" w:cs="宋体"/>
                <w:szCs w:val="21"/>
              </w:rPr>
            </w:pPr>
          </w:p>
        </w:tc>
        <w:tc>
          <w:tcPr>
            <w:tcW w:w="993" w:type="dxa"/>
            <w:vAlign w:val="center"/>
          </w:tcPr>
          <w:p>
            <w:pPr>
              <w:spacing w:line="240" w:lineRule="auto"/>
              <w:jc w:val="center"/>
              <w:rPr>
                <w:rFonts w:ascii="宋体" w:hAnsi="宋体" w:cs="宋体"/>
                <w:szCs w:val="21"/>
              </w:rPr>
            </w:pPr>
            <w:r>
              <w:rPr>
                <w:rFonts w:hint="eastAsia" w:ascii="宋体" w:hAnsi="宋体" w:cs="宋体"/>
                <w:szCs w:val="21"/>
              </w:rPr>
              <w:t>1.11.8</w:t>
            </w:r>
          </w:p>
        </w:tc>
        <w:tc>
          <w:tcPr>
            <w:tcW w:w="5103" w:type="dxa"/>
            <w:vAlign w:val="center"/>
          </w:tcPr>
          <w:p>
            <w:pPr>
              <w:spacing w:line="240" w:lineRule="auto"/>
              <w:rPr>
                <w:rFonts w:ascii="宋体" w:hAnsi="宋体" w:cs="宋体"/>
                <w:szCs w:val="21"/>
              </w:rPr>
            </w:pPr>
            <w:r>
              <w:rPr>
                <w:rFonts w:hint="eastAsia" w:ascii="宋体" w:hAnsi="宋体" w:cs="宋体"/>
                <w:szCs w:val="21"/>
              </w:rPr>
              <w:t>施工工点没有充足的照明，照明不符合规范要求</w:t>
            </w:r>
          </w:p>
        </w:tc>
        <w:tc>
          <w:tcPr>
            <w:tcW w:w="1246" w:type="dxa"/>
            <w:vAlign w:val="center"/>
          </w:tcPr>
          <w:p>
            <w:pPr>
              <w:spacing w:line="240" w:lineRule="auto"/>
              <w:jc w:val="center"/>
              <w:rPr>
                <w:rFonts w:ascii="宋体" w:hAnsi="宋体" w:cs="宋体"/>
                <w:szCs w:val="21"/>
              </w:rPr>
            </w:pPr>
            <w:r>
              <w:rPr>
                <w:rFonts w:hint="eastAsia" w:ascii="宋体" w:hAnsi="宋体" w:cs="宋体"/>
                <w:szCs w:val="21"/>
              </w:rPr>
              <w:t>扣1分</w:t>
            </w:r>
          </w:p>
        </w:tc>
        <w:tc>
          <w:tcPr>
            <w:tcW w:w="1304" w:type="dxa"/>
            <w:vAlign w:val="bottom"/>
          </w:tcPr>
          <w:p>
            <w:pPr>
              <w:spacing w:line="240" w:lineRule="auto"/>
              <w:rPr>
                <w:rFonts w:ascii="宋体" w:hAnsi="宋体" w:cs="宋体"/>
                <w:szCs w:val="21"/>
              </w:rPr>
            </w:pPr>
            <w:r>
              <w:rPr>
                <w:rFonts w:hint="eastAsia" w:ascii="宋体" w:hAnsi="宋体" w:cs="宋体"/>
                <w:szCs w:val="21"/>
              </w:rPr>
              <w:t>3000</w:t>
            </w:r>
          </w:p>
        </w:tc>
      </w:tr>
    </w:tbl>
    <w:p>
      <w:pPr>
        <w:spacing w:line="600" w:lineRule="exact"/>
        <w:rPr>
          <w:rFonts w:ascii="宋体" w:hAnsi="宋体" w:cs="宋体"/>
        </w:rPr>
        <w:sectPr>
          <w:footerReference r:id="rId14" w:type="default"/>
          <w:pgSz w:w="11906" w:h="16838"/>
          <w:pgMar w:top="1440" w:right="1800" w:bottom="1440" w:left="1800" w:header="851" w:footer="850" w:gutter="0"/>
          <w:cols w:space="720" w:num="1"/>
          <w:docGrid w:type="lines" w:linePitch="312" w:charSpace="-3629"/>
        </w:sectPr>
      </w:pPr>
    </w:p>
    <w:p>
      <w:pPr>
        <w:pStyle w:val="5"/>
        <w:tabs>
          <w:tab w:val="left" w:pos="576"/>
        </w:tabs>
        <w:spacing w:before="156"/>
        <w:ind w:left="576" w:hanging="576"/>
        <w:jc w:val="center"/>
        <w:rPr>
          <w:rFonts w:ascii="宋体" w:hAnsi="宋体" w:cs="宋体"/>
          <w:bCs w:val="0"/>
          <w:sz w:val="32"/>
        </w:rPr>
      </w:pPr>
      <w:bookmarkStart w:id="526" w:name="_Toc23435"/>
      <w:bookmarkStart w:id="527" w:name="_Toc12405"/>
      <w:r>
        <w:rPr>
          <w:rFonts w:hint="eastAsia" w:ascii="宋体" w:hAnsi="宋体" w:cs="宋体"/>
          <w:bCs w:val="0"/>
          <w:sz w:val="32"/>
        </w:rPr>
        <w:t>第四部分合同附件格式</w:t>
      </w:r>
      <w:bookmarkEnd w:id="526"/>
      <w:bookmarkEnd w:id="527"/>
    </w:p>
    <w:p>
      <w:pPr>
        <w:tabs>
          <w:tab w:val="left" w:pos="432"/>
        </w:tabs>
        <w:rPr>
          <w:rFonts w:ascii="宋体" w:hAnsi="宋体" w:cs="宋体"/>
          <w:b/>
          <w:szCs w:val="21"/>
        </w:rPr>
      </w:pPr>
      <w:bookmarkStart w:id="528" w:name="_Toc5155"/>
      <w:r>
        <w:rPr>
          <w:rFonts w:hint="eastAsia" w:ascii="宋体" w:hAnsi="宋体" w:cs="宋体"/>
          <w:b/>
          <w:szCs w:val="21"/>
        </w:rPr>
        <w:t>附</w:t>
      </w:r>
      <w:bookmarkStart w:id="529" w:name="_Toc267261693"/>
      <w:bookmarkStart w:id="530" w:name="_Toc296346727"/>
      <w:bookmarkStart w:id="531" w:name="_Toc296347225"/>
      <w:bookmarkStart w:id="532" w:name="_Toc296891054"/>
      <w:bookmarkStart w:id="533" w:name="_Toc296891266"/>
      <w:bookmarkStart w:id="534" w:name="_Toc296503226"/>
      <w:bookmarkStart w:id="535" w:name="_Toc296944565"/>
      <w:r>
        <w:rPr>
          <w:rFonts w:hint="eastAsia" w:ascii="宋体" w:hAnsi="宋体" w:cs="宋体"/>
          <w:b/>
          <w:szCs w:val="21"/>
        </w:rPr>
        <w:t>件1：</w:t>
      </w:r>
      <w:bookmarkEnd w:id="528"/>
      <w:bookmarkEnd w:id="529"/>
      <w:bookmarkEnd w:id="530"/>
      <w:bookmarkEnd w:id="531"/>
      <w:bookmarkEnd w:id="532"/>
      <w:bookmarkEnd w:id="533"/>
      <w:bookmarkEnd w:id="534"/>
      <w:bookmarkEnd w:id="535"/>
    </w:p>
    <w:p>
      <w:pPr>
        <w:tabs>
          <w:tab w:val="left" w:pos="432"/>
        </w:tabs>
        <w:spacing w:line="240" w:lineRule="auto"/>
        <w:jc w:val="center"/>
        <w:rPr>
          <w:rFonts w:ascii="宋体" w:hAnsi="宋体" w:cs="宋体"/>
          <w:b/>
          <w:sz w:val="28"/>
          <w:szCs w:val="28"/>
        </w:rPr>
      </w:pPr>
      <w:r>
        <w:rPr>
          <w:rFonts w:hint="eastAsia" w:ascii="宋体" w:hAnsi="宋体" w:cs="宋体"/>
          <w:b/>
          <w:sz w:val="28"/>
          <w:szCs w:val="28"/>
        </w:rPr>
        <w:t>工程质量保修书</w:t>
      </w:r>
    </w:p>
    <w:p>
      <w:pPr>
        <w:spacing w:line="240" w:lineRule="auto"/>
        <w:ind w:firstLine="386" w:firstLineChars="200"/>
        <w:rPr>
          <w:rFonts w:ascii="宋体" w:hAnsi="宋体" w:cs="宋体"/>
          <w:szCs w:val="21"/>
        </w:rPr>
      </w:pPr>
      <w:r>
        <w:rPr>
          <w:rFonts w:hint="eastAsia" w:ascii="宋体" w:hAnsi="宋体" w:cs="宋体"/>
          <w:szCs w:val="21"/>
        </w:rPr>
        <w:t>发包人（全称）： _____________________________</w:t>
      </w:r>
    </w:p>
    <w:p>
      <w:pPr>
        <w:spacing w:line="240" w:lineRule="auto"/>
        <w:ind w:firstLine="386" w:firstLineChars="200"/>
        <w:rPr>
          <w:rFonts w:ascii="宋体" w:hAnsi="宋体" w:cs="宋体"/>
          <w:szCs w:val="21"/>
        </w:rPr>
      </w:pPr>
      <w:r>
        <w:rPr>
          <w:rFonts w:hint="eastAsia" w:ascii="宋体" w:hAnsi="宋体" w:cs="宋体"/>
          <w:szCs w:val="21"/>
        </w:rPr>
        <w:t>承包人（全称）： ______________________________</w:t>
      </w:r>
    </w:p>
    <w:p>
      <w:pPr>
        <w:spacing w:line="240" w:lineRule="auto"/>
        <w:ind w:firstLine="420"/>
        <w:rPr>
          <w:rFonts w:ascii="宋体" w:hAnsi="宋体" w:cs="宋体"/>
          <w:szCs w:val="21"/>
          <w:u w:val="single"/>
        </w:rPr>
      </w:pPr>
      <w:r>
        <w:rPr>
          <w:rFonts w:hint="eastAsia" w:ascii="宋体" w:hAnsi="宋体" w:cs="宋体"/>
          <w:szCs w:val="21"/>
        </w:rPr>
        <w:t>发包人和承包人根据《中华人民共和国建筑法》和《建设工程质量管理条例》，经协商一致就（工程全称）签订工程质量保修书。</w:t>
      </w:r>
    </w:p>
    <w:p>
      <w:pPr>
        <w:spacing w:line="240" w:lineRule="auto"/>
        <w:ind w:firstLine="386" w:firstLineChars="200"/>
        <w:rPr>
          <w:rFonts w:ascii="宋体" w:hAnsi="宋体" w:cs="宋体"/>
          <w:szCs w:val="21"/>
        </w:rPr>
      </w:pPr>
      <w:r>
        <w:rPr>
          <w:rFonts w:hint="eastAsia" w:ascii="宋体" w:hAnsi="宋体" w:cs="宋体"/>
          <w:szCs w:val="21"/>
        </w:rPr>
        <w:t>一、工程质量保修范围和内容</w:t>
      </w:r>
    </w:p>
    <w:p>
      <w:pPr>
        <w:spacing w:line="240" w:lineRule="auto"/>
        <w:ind w:firstLine="386" w:firstLineChars="200"/>
        <w:rPr>
          <w:rFonts w:ascii="宋体" w:hAnsi="宋体" w:cs="宋体"/>
          <w:szCs w:val="21"/>
        </w:rPr>
      </w:pPr>
      <w:r>
        <w:rPr>
          <w:rFonts w:hint="eastAsia" w:ascii="宋体" w:hAnsi="宋体" w:cs="宋体"/>
          <w:szCs w:val="21"/>
        </w:rPr>
        <w:t>承包人在质量保修期内，按照有关法律规定和合同约定，承担工程质量保修责任。</w:t>
      </w:r>
    </w:p>
    <w:p>
      <w:pPr>
        <w:spacing w:line="240" w:lineRule="auto"/>
        <w:ind w:firstLine="386" w:firstLineChars="200"/>
        <w:rPr>
          <w:rFonts w:ascii="宋体" w:hAnsi="宋体" w:cs="宋体"/>
          <w:szCs w:val="21"/>
        </w:rPr>
      </w:pPr>
      <w:r>
        <w:rPr>
          <w:rFonts w:hint="eastAsia" w:ascii="宋体" w:hAnsi="宋体" w:cs="宋体"/>
          <w:szCs w:val="21"/>
        </w:rPr>
        <w:t>质量保修范围包括</w:t>
      </w:r>
      <w:r>
        <w:rPr>
          <w:rFonts w:hint="eastAsia" w:ascii="宋体" w:hAnsi="宋体" w:cs="宋体"/>
          <w:szCs w:val="21"/>
          <w:u w:val="single"/>
        </w:rPr>
        <w:t>承包方所承包施工的全部工程内容</w:t>
      </w:r>
      <w:r>
        <w:rPr>
          <w:rFonts w:hint="eastAsia" w:ascii="宋体" w:hAnsi="宋体" w:cs="宋体"/>
          <w:szCs w:val="21"/>
        </w:rPr>
        <w:t>。</w:t>
      </w:r>
    </w:p>
    <w:p>
      <w:pPr>
        <w:spacing w:line="240" w:lineRule="auto"/>
        <w:ind w:firstLine="386" w:firstLineChars="200"/>
        <w:rPr>
          <w:rFonts w:ascii="宋体" w:hAnsi="宋体" w:cs="宋体"/>
          <w:szCs w:val="21"/>
        </w:rPr>
      </w:pPr>
      <w:r>
        <w:rPr>
          <w:rFonts w:hint="eastAsia" w:ascii="宋体" w:hAnsi="宋体" w:cs="宋体"/>
          <w:szCs w:val="21"/>
        </w:rPr>
        <w:t>二、质量保修期</w:t>
      </w:r>
    </w:p>
    <w:p>
      <w:pPr>
        <w:spacing w:line="240" w:lineRule="auto"/>
        <w:ind w:firstLine="386" w:firstLineChars="200"/>
        <w:rPr>
          <w:rFonts w:ascii="宋体" w:hAnsi="宋体" w:cs="宋体"/>
          <w:szCs w:val="21"/>
        </w:rPr>
      </w:pPr>
      <w:r>
        <w:rPr>
          <w:rFonts w:hint="eastAsia" w:ascii="宋体" w:hAnsi="宋体" w:cs="宋体"/>
          <w:szCs w:val="21"/>
        </w:rPr>
        <w:t>根据《建设工程质量管理条例》及有关规定，工程的质量保修期如下：</w:t>
      </w:r>
    </w:p>
    <w:p>
      <w:pPr>
        <w:spacing w:line="240" w:lineRule="auto"/>
        <w:ind w:firstLine="426"/>
        <w:rPr>
          <w:rFonts w:ascii="宋体" w:hAnsi="宋体" w:cs="宋体"/>
          <w:szCs w:val="21"/>
        </w:rPr>
      </w:pPr>
      <w:r>
        <w:rPr>
          <w:rFonts w:hint="eastAsia" w:ascii="宋体" w:hAnsi="宋体" w:cs="宋体"/>
          <w:szCs w:val="21"/>
        </w:rPr>
        <w:t>1．桥梁工程为</w:t>
      </w:r>
      <w:r>
        <w:rPr>
          <w:rFonts w:hint="eastAsia" w:ascii="宋体" w:hAnsi="宋体" w:cs="宋体"/>
          <w:szCs w:val="21"/>
          <w:u w:val="single"/>
        </w:rPr>
        <w:t xml:space="preserve"> 2   </w:t>
      </w:r>
      <w:r>
        <w:rPr>
          <w:rFonts w:hint="eastAsia" w:ascii="宋体" w:hAnsi="宋体" w:cs="宋体"/>
          <w:szCs w:val="21"/>
        </w:rPr>
        <w:t>年；</w:t>
      </w:r>
    </w:p>
    <w:p>
      <w:pPr>
        <w:spacing w:line="240" w:lineRule="auto"/>
        <w:ind w:firstLine="426"/>
        <w:rPr>
          <w:rFonts w:ascii="宋体" w:hAnsi="宋体" w:cs="宋体"/>
          <w:szCs w:val="21"/>
        </w:rPr>
      </w:pPr>
      <w:r>
        <w:rPr>
          <w:rFonts w:hint="eastAsia" w:ascii="宋体" w:hAnsi="宋体" w:cs="宋体"/>
          <w:szCs w:val="21"/>
        </w:rPr>
        <w:t>2．道路工程为</w:t>
      </w:r>
      <w:r>
        <w:rPr>
          <w:rFonts w:hint="eastAsia" w:ascii="宋体" w:hAnsi="宋体" w:cs="宋体"/>
          <w:szCs w:val="21"/>
          <w:u w:val="single"/>
        </w:rPr>
        <w:t xml:space="preserve"> 2   </w:t>
      </w:r>
      <w:r>
        <w:rPr>
          <w:rFonts w:hint="eastAsia" w:ascii="宋体" w:hAnsi="宋体" w:cs="宋体"/>
          <w:szCs w:val="21"/>
        </w:rPr>
        <w:t>年；</w:t>
      </w:r>
    </w:p>
    <w:p>
      <w:pPr>
        <w:spacing w:line="240" w:lineRule="auto"/>
        <w:ind w:firstLine="426"/>
        <w:rPr>
          <w:rFonts w:ascii="宋体" w:hAnsi="宋体" w:cs="宋体"/>
          <w:szCs w:val="21"/>
        </w:rPr>
      </w:pPr>
      <w:r>
        <w:rPr>
          <w:rFonts w:hint="eastAsia" w:ascii="宋体" w:hAnsi="宋体" w:cs="宋体"/>
          <w:szCs w:val="21"/>
        </w:rPr>
        <w:t>3．地基处理工程为</w:t>
      </w:r>
      <w:r>
        <w:rPr>
          <w:rFonts w:hint="eastAsia" w:ascii="宋体" w:hAnsi="宋体" w:cs="宋体"/>
          <w:szCs w:val="21"/>
          <w:u w:val="single"/>
        </w:rPr>
        <w:t xml:space="preserve">2   </w:t>
      </w:r>
      <w:r>
        <w:rPr>
          <w:rFonts w:hint="eastAsia" w:ascii="宋体" w:hAnsi="宋体" w:cs="宋体"/>
          <w:szCs w:val="21"/>
        </w:rPr>
        <w:t>年；</w:t>
      </w:r>
    </w:p>
    <w:p>
      <w:pPr>
        <w:spacing w:line="240" w:lineRule="auto"/>
        <w:ind w:firstLine="426"/>
        <w:rPr>
          <w:rFonts w:ascii="宋体" w:hAnsi="宋体" w:cs="宋体"/>
          <w:szCs w:val="21"/>
        </w:rPr>
      </w:pPr>
      <w:r>
        <w:rPr>
          <w:rFonts w:hint="eastAsia" w:ascii="宋体" w:hAnsi="宋体" w:cs="宋体"/>
          <w:szCs w:val="21"/>
        </w:rPr>
        <w:t>4．排水（雨水）工程为</w:t>
      </w:r>
      <w:r>
        <w:rPr>
          <w:rFonts w:hint="eastAsia" w:ascii="宋体" w:hAnsi="宋体" w:cs="宋体"/>
          <w:szCs w:val="21"/>
          <w:u w:val="single"/>
        </w:rPr>
        <w:t xml:space="preserve">2   </w:t>
      </w:r>
      <w:r>
        <w:rPr>
          <w:rFonts w:hint="eastAsia" w:ascii="宋体" w:hAnsi="宋体" w:cs="宋体"/>
          <w:szCs w:val="21"/>
        </w:rPr>
        <w:t>年；</w:t>
      </w:r>
    </w:p>
    <w:p>
      <w:pPr>
        <w:spacing w:line="240" w:lineRule="auto"/>
        <w:ind w:firstLine="426"/>
        <w:rPr>
          <w:rFonts w:ascii="宋体" w:hAnsi="宋体" w:cs="宋体"/>
          <w:szCs w:val="21"/>
        </w:rPr>
      </w:pPr>
      <w:r>
        <w:rPr>
          <w:rFonts w:hint="eastAsia" w:ascii="宋体" w:hAnsi="宋体" w:cs="宋体"/>
          <w:szCs w:val="21"/>
        </w:rPr>
        <w:t>5．养护期限为</w:t>
      </w:r>
      <w:r>
        <w:rPr>
          <w:rFonts w:hint="eastAsia" w:ascii="宋体" w:hAnsi="宋体" w:cs="宋体"/>
          <w:szCs w:val="21"/>
          <w:u w:val="single"/>
        </w:rPr>
        <w:t>验收之后三个月</w:t>
      </w:r>
      <w:r>
        <w:rPr>
          <w:rFonts w:hint="eastAsia" w:ascii="宋体" w:hAnsi="宋体" w:cs="宋体"/>
          <w:szCs w:val="21"/>
        </w:rPr>
        <w:t>；</w:t>
      </w:r>
    </w:p>
    <w:p>
      <w:pPr>
        <w:spacing w:line="240" w:lineRule="auto"/>
        <w:ind w:firstLine="426"/>
        <w:rPr>
          <w:rFonts w:ascii="宋体" w:hAnsi="宋体" w:cs="宋体"/>
          <w:szCs w:val="21"/>
        </w:rPr>
      </w:pPr>
      <w:r>
        <w:rPr>
          <w:rFonts w:hint="eastAsia" w:ascii="宋体" w:hAnsi="宋体" w:cs="宋体"/>
          <w:szCs w:val="21"/>
        </w:rPr>
        <w:t>6．其他附属工程为</w:t>
      </w:r>
      <w:r>
        <w:rPr>
          <w:rFonts w:hint="eastAsia" w:ascii="宋体" w:hAnsi="宋体" w:cs="宋体"/>
          <w:szCs w:val="21"/>
          <w:u w:val="single"/>
        </w:rPr>
        <w:t xml:space="preserve"> 2   </w:t>
      </w:r>
      <w:r>
        <w:rPr>
          <w:rFonts w:hint="eastAsia" w:ascii="宋体" w:hAnsi="宋体" w:cs="宋体"/>
          <w:szCs w:val="21"/>
        </w:rPr>
        <w:t>年；</w:t>
      </w:r>
    </w:p>
    <w:p>
      <w:pPr>
        <w:spacing w:line="240" w:lineRule="auto"/>
        <w:ind w:firstLine="386" w:firstLineChars="200"/>
        <w:rPr>
          <w:rFonts w:ascii="宋体" w:hAnsi="宋体" w:cs="宋体"/>
          <w:szCs w:val="21"/>
        </w:rPr>
      </w:pPr>
      <w:r>
        <w:rPr>
          <w:rFonts w:hint="eastAsia" w:ascii="宋体" w:hAnsi="宋体" w:cs="宋体"/>
          <w:szCs w:val="21"/>
        </w:rPr>
        <w:t>7．其他项目保修期限约定如下：</w:t>
      </w:r>
    </w:p>
    <w:p>
      <w:pPr>
        <w:spacing w:line="240" w:lineRule="auto"/>
        <w:ind w:firstLine="386" w:firstLineChars="200"/>
        <w:rPr>
          <w:rFonts w:ascii="宋体" w:hAnsi="宋体" w:cs="宋体"/>
          <w:szCs w:val="21"/>
        </w:rPr>
      </w:pPr>
      <w:r>
        <w:rPr>
          <w:rFonts w:hint="eastAsia" w:ascii="宋体" w:hAnsi="宋体" w:cs="宋体"/>
          <w:szCs w:val="21"/>
        </w:rPr>
        <w:t>质量保修期自工程竣工验收合格之日起计算。</w:t>
      </w:r>
    </w:p>
    <w:p>
      <w:pPr>
        <w:spacing w:line="240" w:lineRule="auto"/>
        <w:ind w:firstLine="386" w:firstLineChars="200"/>
        <w:rPr>
          <w:rFonts w:ascii="宋体" w:hAnsi="宋体" w:cs="宋体"/>
          <w:szCs w:val="21"/>
        </w:rPr>
      </w:pPr>
      <w:r>
        <w:rPr>
          <w:rFonts w:hint="eastAsia" w:ascii="宋体" w:hAnsi="宋体" w:cs="宋体"/>
          <w:szCs w:val="21"/>
        </w:rPr>
        <w:t>三、缺陷责任期</w:t>
      </w:r>
    </w:p>
    <w:p>
      <w:pPr>
        <w:spacing w:line="240" w:lineRule="auto"/>
        <w:ind w:firstLine="386" w:firstLineChars="200"/>
        <w:rPr>
          <w:rFonts w:ascii="宋体" w:hAnsi="宋体" w:cs="宋体"/>
          <w:szCs w:val="21"/>
        </w:rPr>
      </w:pPr>
      <w:r>
        <w:rPr>
          <w:rFonts w:hint="eastAsia" w:ascii="宋体" w:hAnsi="宋体" w:cs="宋体"/>
          <w:szCs w:val="21"/>
        </w:rPr>
        <w:t>工程缺陷责任期为</w:t>
      </w:r>
      <w:r>
        <w:rPr>
          <w:rFonts w:hint="eastAsia" w:ascii="宋体" w:hAnsi="宋体" w:cs="宋体"/>
          <w:szCs w:val="21"/>
          <w:u w:val="single"/>
        </w:rPr>
        <w:t xml:space="preserve"> 24</w:t>
      </w:r>
      <w:r>
        <w:rPr>
          <w:rFonts w:hint="eastAsia" w:ascii="宋体" w:hAnsi="宋体" w:cs="宋体"/>
          <w:szCs w:val="21"/>
        </w:rPr>
        <w:t>个月，缺陷责任期自工程竣工验收合格之日起计算。单位工程先于全部工程进行验收，单位工程缺陷责任期自单位工程验收合格之日起算。</w:t>
      </w:r>
    </w:p>
    <w:p>
      <w:pPr>
        <w:spacing w:line="240" w:lineRule="auto"/>
        <w:ind w:firstLine="386" w:firstLineChars="200"/>
        <w:rPr>
          <w:rFonts w:ascii="宋体" w:hAnsi="宋体" w:cs="宋体"/>
          <w:szCs w:val="21"/>
        </w:rPr>
      </w:pPr>
      <w:r>
        <w:rPr>
          <w:rFonts w:hint="eastAsia" w:ascii="宋体" w:hAnsi="宋体" w:cs="宋体"/>
          <w:szCs w:val="21"/>
        </w:rPr>
        <w:t>缺陷责任期终止后，发包人应退还剩余的质量保证金。</w:t>
      </w:r>
    </w:p>
    <w:p>
      <w:pPr>
        <w:spacing w:line="240" w:lineRule="auto"/>
        <w:rPr>
          <w:rFonts w:ascii="宋体" w:hAnsi="宋体" w:cs="宋体"/>
          <w:szCs w:val="21"/>
        </w:rPr>
      </w:pPr>
      <w:r>
        <w:rPr>
          <w:rFonts w:hint="eastAsia" w:ascii="宋体" w:hAnsi="宋体" w:cs="宋体"/>
          <w:szCs w:val="21"/>
        </w:rPr>
        <w:t>四、质量保修责任</w:t>
      </w:r>
    </w:p>
    <w:p>
      <w:pPr>
        <w:spacing w:line="240" w:lineRule="auto"/>
        <w:ind w:firstLine="396" w:firstLineChars="205"/>
        <w:rPr>
          <w:rFonts w:ascii="宋体" w:hAnsi="宋体" w:cs="宋体"/>
          <w:szCs w:val="21"/>
        </w:rPr>
      </w:pPr>
      <w:r>
        <w:rPr>
          <w:rFonts w:hint="eastAsia" w:ascii="宋体" w:hAnsi="宋体" w:cs="宋体"/>
          <w:szCs w:val="21"/>
        </w:rPr>
        <w:t>1．属于保修范围、内容的项目，承包人应当在接到保修通知之日起7天内派人保修。承包人不在约定期限内派人保修的，发包人可以委托他人修理。</w:t>
      </w:r>
    </w:p>
    <w:p>
      <w:pPr>
        <w:spacing w:line="240" w:lineRule="auto"/>
        <w:ind w:firstLine="396" w:firstLineChars="205"/>
        <w:rPr>
          <w:rFonts w:ascii="宋体" w:hAnsi="宋体" w:cs="宋体"/>
          <w:szCs w:val="21"/>
        </w:rPr>
      </w:pPr>
      <w:r>
        <w:rPr>
          <w:rFonts w:hint="eastAsia" w:ascii="宋体" w:hAnsi="宋体" w:cs="宋体"/>
          <w:szCs w:val="21"/>
        </w:rPr>
        <w:t>2．发生紧急事故需抢修的，承包人在接到事故通知后，应当立即到达事故现场抢修。</w:t>
      </w:r>
    </w:p>
    <w:p>
      <w:pPr>
        <w:spacing w:line="240" w:lineRule="auto"/>
        <w:ind w:firstLine="396" w:firstLineChars="205"/>
        <w:rPr>
          <w:rFonts w:ascii="宋体" w:hAnsi="宋体" w:cs="宋体"/>
          <w:szCs w:val="21"/>
        </w:rPr>
      </w:pPr>
      <w:r>
        <w:rPr>
          <w:rFonts w:hint="eastAsia" w:ascii="宋体" w:hAnsi="宋体" w:cs="宋体"/>
          <w:szCs w:val="21"/>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spacing w:line="240" w:lineRule="auto"/>
        <w:ind w:firstLine="290" w:firstLineChars="150"/>
        <w:rPr>
          <w:rFonts w:ascii="宋体" w:hAnsi="宋体" w:cs="宋体"/>
          <w:szCs w:val="21"/>
        </w:rPr>
      </w:pPr>
      <w:r>
        <w:rPr>
          <w:rFonts w:hint="eastAsia" w:ascii="宋体" w:hAnsi="宋体" w:cs="宋体"/>
          <w:szCs w:val="21"/>
        </w:rPr>
        <w:t>4．质量保修完成后，由发包人组织验收。</w:t>
      </w:r>
    </w:p>
    <w:p>
      <w:pPr>
        <w:spacing w:line="240" w:lineRule="auto"/>
        <w:rPr>
          <w:rFonts w:ascii="宋体" w:hAnsi="宋体" w:cs="宋体"/>
          <w:szCs w:val="21"/>
        </w:rPr>
      </w:pPr>
      <w:r>
        <w:rPr>
          <w:rFonts w:hint="eastAsia" w:ascii="宋体" w:hAnsi="宋体" w:cs="宋体"/>
          <w:szCs w:val="21"/>
        </w:rPr>
        <w:t>五、保修费用</w:t>
      </w:r>
    </w:p>
    <w:p>
      <w:pPr>
        <w:spacing w:line="240" w:lineRule="auto"/>
        <w:ind w:firstLine="386" w:firstLineChars="200"/>
        <w:rPr>
          <w:rFonts w:ascii="宋体" w:hAnsi="宋体" w:cs="宋体"/>
          <w:szCs w:val="21"/>
        </w:rPr>
      </w:pPr>
      <w:r>
        <w:rPr>
          <w:rFonts w:hint="eastAsia" w:ascii="宋体" w:hAnsi="宋体" w:cs="宋体"/>
          <w:szCs w:val="21"/>
        </w:rPr>
        <w:t>保修费用由造成质量缺陷的责任方承担。</w:t>
      </w:r>
    </w:p>
    <w:p>
      <w:pPr>
        <w:spacing w:line="240" w:lineRule="auto"/>
        <w:jc w:val="left"/>
        <w:rPr>
          <w:rFonts w:ascii="宋体" w:hAnsi="宋体" w:cs="宋体"/>
          <w:szCs w:val="21"/>
          <w:u w:val="single"/>
        </w:rPr>
      </w:pPr>
      <w:r>
        <w:rPr>
          <w:rFonts w:hint="eastAsia" w:ascii="宋体" w:hAnsi="宋体" w:cs="宋体"/>
          <w:szCs w:val="21"/>
        </w:rPr>
        <w:t>六、双方约定的其他工程质量保修事项：</w:t>
      </w:r>
    </w:p>
    <w:p>
      <w:pPr>
        <w:spacing w:line="240" w:lineRule="auto"/>
        <w:ind w:firstLine="367" w:firstLineChars="190"/>
        <w:rPr>
          <w:rFonts w:ascii="宋体" w:hAnsi="宋体" w:cs="宋体"/>
          <w:szCs w:val="21"/>
        </w:rPr>
      </w:pPr>
      <w:r>
        <w:rPr>
          <w:rFonts w:hint="eastAsia" w:ascii="宋体" w:hAnsi="宋体" w:cs="宋体"/>
          <w:szCs w:val="21"/>
        </w:rPr>
        <w:t>工程质量保修书由发包人、承包人在工程竣工验收前共同签署，作为施工合同附件，其有效期限至保修期满。</w:t>
      </w:r>
    </w:p>
    <w:p>
      <w:pPr>
        <w:spacing w:line="240" w:lineRule="auto"/>
        <w:rPr>
          <w:rFonts w:ascii="宋体" w:hAnsi="宋体" w:cs="宋体"/>
          <w:szCs w:val="21"/>
        </w:rPr>
      </w:pPr>
    </w:p>
    <w:tbl>
      <w:tblPr>
        <w:tblStyle w:val="5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530"/>
        <w:gridCol w:w="45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1" w:hRule="exact"/>
        </w:trPr>
        <w:tc>
          <w:tcPr>
            <w:tcW w:w="2500" w:type="pct"/>
          </w:tcPr>
          <w:p>
            <w:pPr>
              <w:widowControl w:val="0"/>
              <w:adjustRightInd w:val="0"/>
              <w:snapToGrid w:val="0"/>
              <w:rPr>
                <w:rFonts w:ascii="宋体" w:hAnsi="宋体" w:cs="宋体"/>
                <w:szCs w:val="21"/>
              </w:rPr>
            </w:pPr>
            <w:r>
              <w:rPr>
                <w:rFonts w:hint="eastAsia" w:ascii="宋体" w:hAnsi="宋体" w:cs="宋体"/>
                <w:szCs w:val="21"/>
              </w:rPr>
              <w:t>发包人：茂名市发展集团有限公司</w:t>
            </w:r>
            <w:r>
              <w:rPr>
                <w:rFonts w:hint="eastAsia" w:ascii="宋体" w:hAnsi="宋体" w:cs="宋体"/>
                <w:b/>
                <w:spacing w:val="-4"/>
                <w:szCs w:val="21"/>
              </w:rPr>
              <w:t>（盖章）</w:t>
            </w:r>
          </w:p>
        </w:tc>
        <w:tc>
          <w:tcPr>
            <w:tcW w:w="2500" w:type="pct"/>
          </w:tcPr>
          <w:p>
            <w:pPr>
              <w:widowControl w:val="0"/>
              <w:adjustRightInd w:val="0"/>
              <w:snapToGrid w:val="0"/>
              <w:rPr>
                <w:rFonts w:ascii="宋体" w:hAnsi="宋体" w:cs="宋体"/>
                <w:szCs w:val="21"/>
              </w:rPr>
            </w:pPr>
            <w:r>
              <w:rPr>
                <w:rFonts w:hint="eastAsia" w:ascii="宋体" w:hAnsi="宋体" w:cs="宋体"/>
                <w:szCs w:val="21"/>
              </w:rPr>
              <w:t>承包人：（盖章）</w:t>
            </w:r>
          </w:p>
          <w:p>
            <w:pPr>
              <w:widowControl w:val="0"/>
              <w:adjustRightInd w:val="0"/>
              <w:snapToGrid w:val="0"/>
              <w:rPr>
                <w:rFonts w:ascii="宋体" w:hAnsi="宋体" w:cs="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exact"/>
        </w:trPr>
        <w:tc>
          <w:tcPr>
            <w:tcW w:w="2500" w:type="pct"/>
          </w:tcPr>
          <w:p>
            <w:pPr>
              <w:widowControl w:val="0"/>
              <w:adjustRightInd w:val="0"/>
              <w:snapToGrid w:val="0"/>
              <w:rPr>
                <w:rFonts w:ascii="宋体" w:hAnsi="宋体" w:cs="宋体"/>
                <w:szCs w:val="21"/>
              </w:rPr>
            </w:pPr>
            <w:r>
              <w:rPr>
                <w:rFonts w:hint="eastAsia" w:ascii="宋体" w:hAnsi="宋体" w:cs="宋体"/>
                <w:szCs w:val="21"/>
              </w:rPr>
              <w:t>地址：</w:t>
            </w:r>
          </w:p>
        </w:tc>
        <w:tc>
          <w:tcPr>
            <w:tcW w:w="2500" w:type="pct"/>
          </w:tcPr>
          <w:p>
            <w:pPr>
              <w:widowControl w:val="0"/>
              <w:adjustRightInd w:val="0"/>
              <w:snapToGrid w:val="0"/>
              <w:rPr>
                <w:rFonts w:ascii="宋体" w:hAnsi="宋体" w:cs="宋体"/>
                <w:szCs w:val="21"/>
              </w:rPr>
            </w:pPr>
            <w:r>
              <w:rPr>
                <w:rFonts w:hint="eastAsia" w:ascii="宋体" w:hAnsi="宋体" w:cs="宋体"/>
                <w:szCs w:val="21"/>
              </w:rPr>
              <w:t>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exact"/>
        </w:trPr>
        <w:tc>
          <w:tcPr>
            <w:tcW w:w="2500" w:type="pct"/>
            <w:vAlign w:val="center"/>
          </w:tcPr>
          <w:p>
            <w:pPr>
              <w:widowControl w:val="0"/>
              <w:adjustRightInd w:val="0"/>
              <w:snapToGrid w:val="0"/>
              <w:rPr>
                <w:rFonts w:ascii="宋体" w:hAnsi="宋体" w:cs="宋体"/>
                <w:szCs w:val="21"/>
              </w:rPr>
            </w:pPr>
            <w:r>
              <w:rPr>
                <w:rFonts w:hint="eastAsia" w:ascii="宋体" w:hAnsi="宋体" w:cs="宋体"/>
                <w:szCs w:val="21"/>
              </w:rPr>
              <w:t xml:space="preserve">法定代表人(签字)： </w:t>
            </w:r>
          </w:p>
        </w:tc>
        <w:tc>
          <w:tcPr>
            <w:tcW w:w="2500" w:type="pct"/>
            <w:vAlign w:val="center"/>
          </w:tcPr>
          <w:p>
            <w:pPr>
              <w:widowControl w:val="0"/>
              <w:adjustRightInd w:val="0"/>
              <w:snapToGrid w:val="0"/>
              <w:rPr>
                <w:rFonts w:ascii="宋体" w:hAnsi="宋体" w:cs="宋体"/>
                <w:szCs w:val="21"/>
              </w:rPr>
            </w:pPr>
            <w:r>
              <w:rPr>
                <w:rFonts w:hint="eastAsia" w:ascii="宋体" w:hAnsi="宋体" w:cs="宋体"/>
                <w:szCs w:val="21"/>
              </w:rPr>
              <w:t xml:space="preserve">法定代表人(签字)：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exact"/>
        </w:trPr>
        <w:tc>
          <w:tcPr>
            <w:tcW w:w="2500" w:type="pct"/>
            <w:vAlign w:val="center"/>
          </w:tcPr>
          <w:p>
            <w:pPr>
              <w:widowControl w:val="0"/>
              <w:adjustRightInd w:val="0"/>
              <w:snapToGrid w:val="0"/>
              <w:rPr>
                <w:rFonts w:ascii="宋体" w:hAnsi="宋体" w:cs="宋体"/>
                <w:szCs w:val="21"/>
              </w:rPr>
            </w:pPr>
            <w:r>
              <w:rPr>
                <w:rFonts w:hint="eastAsia" w:ascii="宋体" w:hAnsi="宋体" w:cs="宋体"/>
                <w:szCs w:val="21"/>
              </w:rPr>
              <w:t xml:space="preserve">委托代理人(签字)： </w:t>
            </w:r>
          </w:p>
        </w:tc>
        <w:tc>
          <w:tcPr>
            <w:tcW w:w="2500" w:type="pct"/>
            <w:vAlign w:val="center"/>
          </w:tcPr>
          <w:p>
            <w:pPr>
              <w:widowControl w:val="0"/>
              <w:adjustRightInd w:val="0"/>
              <w:snapToGrid w:val="0"/>
              <w:rPr>
                <w:rFonts w:ascii="宋体" w:hAnsi="宋体" w:cs="宋体"/>
                <w:szCs w:val="21"/>
              </w:rPr>
            </w:pPr>
            <w:r>
              <w:rPr>
                <w:rFonts w:hint="eastAsia" w:ascii="宋体" w:hAnsi="宋体" w:cs="宋体"/>
                <w:szCs w:val="21"/>
              </w:rPr>
              <w:t xml:space="preserve">委托代理人(签字)：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2500" w:type="pct"/>
          </w:tcPr>
          <w:p>
            <w:pPr>
              <w:widowControl w:val="0"/>
              <w:adjustRightInd w:val="0"/>
              <w:snapToGrid w:val="0"/>
              <w:rPr>
                <w:rFonts w:ascii="宋体" w:hAnsi="宋体" w:cs="宋体"/>
                <w:szCs w:val="21"/>
              </w:rPr>
            </w:pPr>
            <w:r>
              <w:rPr>
                <w:rFonts w:hint="eastAsia" w:ascii="宋体" w:hAnsi="宋体" w:cs="宋体"/>
                <w:szCs w:val="21"/>
              </w:rPr>
              <w:t>电话：</w:t>
            </w:r>
          </w:p>
        </w:tc>
        <w:tc>
          <w:tcPr>
            <w:tcW w:w="2500" w:type="pct"/>
          </w:tcPr>
          <w:p>
            <w:pPr>
              <w:widowControl w:val="0"/>
              <w:adjustRightInd w:val="0"/>
              <w:snapToGrid w:val="0"/>
              <w:rPr>
                <w:rFonts w:ascii="宋体" w:hAnsi="宋体" w:cs="宋体"/>
                <w:szCs w:val="21"/>
              </w:rPr>
            </w:pPr>
            <w:r>
              <w:rPr>
                <w:rFonts w:hint="eastAsia" w:ascii="宋体" w:hAnsi="宋体" w:cs="宋体"/>
                <w:szCs w:val="21"/>
              </w:rPr>
              <w:t>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exact"/>
        </w:trPr>
        <w:tc>
          <w:tcPr>
            <w:tcW w:w="2500" w:type="pct"/>
          </w:tcPr>
          <w:p>
            <w:pPr>
              <w:widowControl w:val="0"/>
              <w:adjustRightInd w:val="0"/>
              <w:snapToGrid w:val="0"/>
              <w:rPr>
                <w:rFonts w:ascii="宋体" w:hAnsi="宋体" w:cs="宋体"/>
                <w:szCs w:val="21"/>
              </w:rPr>
            </w:pPr>
            <w:r>
              <w:rPr>
                <w:rFonts w:hint="eastAsia" w:ascii="宋体" w:hAnsi="宋体" w:cs="宋体"/>
                <w:szCs w:val="21"/>
              </w:rPr>
              <w:t>传真：</w:t>
            </w:r>
          </w:p>
        </w:tc>
        <w:tc>
          <w:tcPr>
            <w:tcW w:w="2500" w:type="pct"/>
          </w:tcPr>
          <w:p>
            <w:pPr>
              <w:widowControl w:val="0"/>
              <w:adjustRightInd w:val="0"/>
              <w:snapToGrid w:val="0"/>
              <w:rPr>
                <w:rFonts w:ascii="宋体" w:hAnsi="宋体" w:cs="宋体"/>
                <w:szCs w:val="21"/>
              </w:rPr>
            </w:pPr>
            <w:r>
              <w:rPr>
                <w:rFonts w:hint="eastAsia" w:ascii="宋体" w:hAnsi="宋体" w:cs="宋体"/>
                <w:szCs w:val="21"/>
              </w:rPr>
              <w:t>传真：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exact"/>
        </w:trPr>
        <w:tc>
          <w:tcPr>
            <w:tcW w:w="2500" w:type="pct"/>
          </w:tcPr>
          <w:p>
            <w:pPr>
              <w:widowControl w:val="0"/>
              <w:adjustRightInd w:val="0"/>
              <w:snapToGrid w:val="0"/>
              <w:rPr>
                <w:rFonts w:ascii="宋体" w:hAnsi="宋体" w:cs="宋体"/>
                <w:szCs w:val="21"/>
              </w:rPr>
            </w:pPr>
            <w:r>
              <w:rPr>
                <w:rFonts w:hint="eastAsia" w:ascii="宋体" w:hAnsi="宋体" w:cs="宋体"/>
                <w:szCs w:val="21"/>
              </w:rPr>
              <w:t>开户银行：</w:t>
            </w:r>
          </w:p>
        </w:tc>
        <w:tc>
          <w:tcPr>
            <w:tcW w:w="2500" w:type="pct"/>
          </w:tcPr>
          <w:p>
            <w:pPr>
              <w:widowControl w:val="0"/>
              <w:adjustRightInd w:val="0"/>
              <w:snapToGrid w:val="0"/>
              <w:rPr>
                <w:rFonts w:ascii="宋体" w:hAnsi="宋体" w:cs="宋体"/>
                <w:szCs w:val="21"/>
              </w:rPr>
            </w:pPr>
            <w:r>
              <w:rPr>
                <w:rFonts w:hint="eastAsia" w:ascii="宋体" w:hAnsi="宋体" w:cs="宋体"/>
                <w:szCs w:val="21"/>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exact"/>
        </w:trPr>
        <w:tc>
          <w:tcPr>
            <w:tcW w:w="2500" w:type="pct"/>
          </w:tcPr>
          <w:p>
            <w:pPr>
              <w:widowControl w:val="0"/>
              <w:adjustRightInd w:val="0"/>
              <w:snapToGrid w:val="0"/>
              <w:rPr>
                <w:rFonts w:ascii="宋体" w:hAnsi="宋体" w:cs="宋体"/>
                <w:szCs w:val="21"/>
              </w:rPr>
            </w:pPr>
            <w:r>
              <w:rPr>
                <w:rFonts w:hint="eastAsia" w:ascii="宋体" w:hAnsi="宋体" w:cs="宋体"/>
                <w:szCs w:val="21"/>
              </w:rPr>
              <w:t>帐号：</w:t>
            </w:r>
          </w:p>
        </w:tc>
        <w:tc>
          <w:tcPr>
            <w:tcW w:w="2500" w:type="pct"/>
          </w:tcPr>
          <w:p>
            <w:pPr>
              <w:widowControl w:val="0"/>
              <w:adjustRightInd w:val="0"/>
              <w:snapToGrid w:val="0"/>
              <w:rPr>
                <w:rFonts w:ascii="宋体" w:hAnsi="宋体" w:cs="宋体"/>
                <w:szCs w:val="21"/>
              </w:rPr>
            </w:pPr>
            <w:r>
              <w:rPr>
                <w:rFonts w:hint="eastAsia" w:ascii="宋体" w:hAnsi="宋体" w:cs="宋体"/>
                <w:szCs w:val="21"/>
              </w:rPr>
              <w:t>帐号：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exact"/>
        </w:trPr>
        <w:tc>
          <w:tcPr>
            <w:tcW w:w="2500" w:type="pct"/>
          </w:tcPr>
          <w:p>
            <w:pPr>
              <w:widowControl w:val="0"/>
              <w:adjustRightInd w:val="0"/>
              <w:snapToGrid w:val="0"/>
              <w:rPr>
                <w:rFonts w:ascii="宋体" w:hAnsi="宋体" w:cs="宋体"/>
                <w:szCs w:val="21"/>
              </w:rPr>
            </w:pPr>
            <w:r>
              <w:rPr>
                <w:rFonts w:hint="eastAsia" w:ascii="宋体" w:hAnsi="宋体" w:cs="宋体"/>
                <w:szCs w:val="21"/>
              </w:rPr>
              <w:t>邮政编码：</w:t>
            </w:r>
          </w:p>
        </w:tc>
        <w:tc>
          <w:tcPr>
            <w:tcW w:w="2500" w:type="pct"/>
          </w:tcPr>
          <w:p>
            <w:pPr>
              <w:widowControl w:val="0"/>
              <w:adjustRightInd w:val="0"/>
              <w:snapToGrid w:val="0"/>
              <w:rPr>
                <w:rFonts w:ascii="宋体" w:hAnsi="宋体" w:cs="宋体"/>
                <w:szCs w:val="21"/>
              </w:rPr>
            </w:pPr>
            <w:r>
              <w:rPr>
                <w:rFonts w:hint="eastAsia" w:ascii="宋体" w:hAnsi="宋体" w:cs="宋体"/>
                <w:szCs w:val="21"/>
              </w:rPr>
              <w:t>邮政编码：</w:t>
            </w:r>
          </w:p>
        </w:tc>
      </w:tr>
    </w:tbl>
    <w:p>
      <w:pPr>
        <w:spacing w:line="600" w:lineRule="exact"/>
        <w:jc w:val="left"/>
        <w:rPr>
          <w:rFonts w:ascii="宋体" w:hAnsi="宋体" w:cs="宋体"/>
          <w:b/>
          <w:sz w:val="30"/>
          <w:szCs w:val="30"/>
        </w:rPr>
      </w:pPr>
      <w:bookmarkStart w:id="536" w:name="_Toc8018"/>
    </w:p>
    <w:p>
      <w:pPr>
        <w:tabs>
          <w:tab w:val="left" w:pos="432"/>
        </w:tabs>
        <w:rPr>
          <w:rFonts w:ascii="宋体" w:hAnsi="宋体" w:cs="宋体"/>
          <w:b/>
          <w:szCs w:val="21"/>
        </w:rPr>
      </w:pPr>
      <w:r>
        <w:rPr>
          <w:rFonts w:hint="eastAsia" w:ascii="宋体" w:hAnsi="宋体" w:cs="宋体"/>
          <w:b/>
          <w:szCs w:val="21"/>
        </w:rPr>
        <w:t>附件2：</w:t>
      </w:r>
      <w:bookmarkEnd w:id="536"/>
      <w:bookmarkStart w:id="537" w:name="_Toc30827"/>
    </w:p>
    <w:p>
      <w:pPr>
        <w:tabs>
          <w:tab w:val="left" w:pos="432"/>
        </w:tabs>
        <w:spacing w:line="240" w:lineRule="auto"/>
        <w:jc w:val="center"/>
        <w:rPr>
          <w:rFonts w:ascii="宋体" w:hAnsi="宋体" w:cs="宋体"/>
          <w:b/>
          <w:sz w:val="28"/>
          <w:szCs w:val="28"/>
        </w:rPr>
      </w:pPr>
      <w:r>
        <w:rPr>
          <w:rFonts w:hint="eastAsia" w:ascii="宋体" w:hAnsi="宋体" w:cs="宋体"/>
          <w:b/>
          <w:sz w:val="28"/>
          <w:szCs w:val="28"/>
        </w:rPr>
        <w:t>履约银行保函</w:t>
      </w:r>
      <w:bookmarkEnd w:id="537"/>
    </w:p>
    <w:p>
      <w:pPr>
        <w:spacing w:line="240" w:lineRule="auto"/>
        <w:ind w:firstLine="386" w:firstLineChars="200"/>
        <w:rPr>
          <w:rFonts w:ascii="宋体" w:hAnsi="宋体" w:cs="宋体"/>
          <w:kern w:val="0"/>
          <w:szCs w:val="21"/>
        </w:rPr>
      </w:pPr>
      <w:r>
        <w:rPr>
          <w:rFonts w:hint="eastAsia" w:ascii="宋体" w:hAnsi="宋体" w:cs="宋体"/>
          <w:kern w:val="0"/>
          <w:szCs w:val="21"/>
        </w:rPr>
        <w:t>致：</w:t>
      </w:r>
      <w:r>
        <w:rPr>
          <w:rFonts w:hint="eastAsia" w:ascii="宋体" w:hAnsi="宋体" w:cs="宋体"/>
          <w:kern w:val="0"/>
          <w:szCs w:val="21"/>
          <w:u w:val="single"/>
        </w:rPr>
        <w:t>（</w:t>
      </w:r>
      <w:r>
        <w:rPr>
          <w:rFonts w:hint="eastAsia" w:ascii="宋体" w:hAnsi="宋体" w:cs="宋体"/>
          <w:kern w:val="0"/>
          <w:szCs w:val="21"/>
        </w:rPr>
        <w:t>发包人全称）</w:t>
      </w:r>
    </w:p>
    <w:p>
      <w:pPr>
        <w:spacing w:line="240" w:lineRule="auto"/>
        <w:ind w:firstLine="386" w:firstLineChars="200"/>
        <w:rPr>
          <w:rFonts w:ascii="宋体" w:hAnsi="宋体" w:cs="宋体"/>
          <w:kern w:val="0"/>
          <w:szCs w:val="21"/>
        </w:rPr>
      </w:pPr>
      <w:r>
        <w:rPr>
          <w:rFonts w:hint="eastAsia" w:ascii="宋体" w:hAnsi="宋体" w:cs="宋体"/>
          <w:kern w:val="0"/>
          <w:szCs w:val="21"/>
        </w:rPr>
        <w:t>鉴于</w:t>
      </w:r>
      <w:r>
        <w:rPr>
          <w:rFonts w:hint="eastAsia" w:ascii="宋体" w:hAnsi="宋体" w:cs="宋体"/>
          <w:kern w:val="0"/>
          <w:szCs w:val="21"/>
          <w:u w:val="single"/>
        </w:rPr>
        <w:t>（</w:t>
      </w:r>
      <w:r>
        <w:rPr>
          <w:rFonts w:hint="eastAsia" w:ascii="宋体" w:hAnsi="宋体" w:cs="宋体"/>
          <w:kern w:val="0"/>
          <w:szCs w:val="21"/>
        </w:rPr>
        <w:t>承包人全称）(下称“承包人”)与</w:t>
      </w:r>
      <w:r>
        <w:rPr>
          <w:rFonts w:hint="eastAsia" w:ascii="宋体" w:hAnsi="宋体" w:cs="宋体"/>
          <w:kern w:val="0"/>
          <w:szCs w:val="21"/>
          <w:u w:val="single"/>
        </w:rPr>
        <w:t>（</w:t>
      </w:r>
      <w:r>
        <w:rPr>
          <w:rFonts w:hint="eastAsia" w:ascii="宋体" w:hAnsi="宋体" w:cs="宋体"/>
          <w:kern w:val="0"/>
          <w:szCs w:val="21"/>
        </w:rPr>
        <w:t>发包人全称）(下称“发包人”)签订</w:t>
      </w:r>
      <w:r>
        <w:rPr>
          <w:rFonts w:hint="eastAsia" w:ascii="宋体" w:hAnsi="宋体" w:cs="宋体"/>
          <w:kern w:val="0"/>
          <w:szCs w:val="21"/>
          <w:u w:val="single"/>
        </w:rPr>
        <w:t>（工程名称）</w:t>
      </w:r>
      <w:r>
        <w:rPr>
          <w:rFonts w:hint="eastAsia" w:ascii="宋体" w:hAnsi="宋体" w:cs="宋体"/>
          <w:kern w:val="0"/>
          <w:szCs w:val="21"/>
        </w:rPr>
        <w:t>施工合同(编号：， 年 月 日签署)，为保证承包人按合同约定履行实施、完成并保修合同工程的义务和责任，发包人在合同中要求承包人应通过经认可的银行提交合同指定的承包人履行本合同全部义务和责任的担保金额等事实，我行愿意为承包人出具保函，以担保金额人民币(大写)元(¥元)向发包人提供不可撤销的担保。</w:t>
      </w:r>
    </w:p>
    <w:p>
      <w:pPr>
        <w:spacing w:line="240" w:lineRule="auto"/>
        <w:ind w:firstLine="380"/>
        <w:jc w:val="left"/>
        <w:rPr>
          <w:rFonts w:ascii="宋体" w:hAnsi="宋体" w:cs="宋体"/>
          <w:kern w:val="0"/>
          <w:szCs w:val="21"/>
        </w:rPr>
      </w:pPr>
      <w:r>
        <w:rPr>
          <w:rFonts w:hint="eastAsia" w:ascii="宋体" w:hAnsi="宋体" w:cs="宋体"/>
          <w:kern w:val="0"/>
          <w:szCs w:val="21"/>
        </w:rPr>
        <w:t>如果承包人在履行合同过程中发生违约或违背合同约定的义务和责任时，我行保证在担保金额额度内偿还或偿清发包人因该项违约或违背所造成的经济损失，并在接到发包人要求的第天内予以支付，发包人应提供承包人有上述违约或违背合同事实的证据或相关的证明材料。</w:t>
      </w:r>
    </w:p>
    <w:p>
      <w:pPr>
        <w:spacing w:line="240" w:lineRule="auto"/>
        <w:ind w:firstLine="380"/>
        <w:jc w:val="left"/>
        <w:rPr>
          <w:rFonts w:ascii="宋体" w:hAnsi="宋体" w:cs="宋体"/>
          <w:kern w:val="0"/>
          <w:szCs w:val="21"/>
        </w:rPr>
      </w:pPr>
      <w:r>
        <w:rPr>
          <w:rFonts w:hint="eastAsia" w:ascii="宋体" w:hAnsi="宋体" w:cs="宋体"/>
          <w:kern w:val="0"/>
          <w:szCs w:val="21"/>
        </w:rPr>
        <w:t>在向我行提出要求前，我行将不坚持要求发包人首先向承包人提出上述款项的索赔。</w:t>
      </w:r>
    </w:p>
    <w:p>
      <w:pPr>
        <w:spacing w:line="240" w:lineRule="auto"/>
        <w:ind w:firstLine="380"/>
        <w:jc w:val="left"/>
        <w:rPr>
          <w:rFonts w:ascii="宋体" w:hAnsi="宋体" w:cs="宋体"/>
          <w:kern w:val="0"/>
          <w:szCs w:val="21"/>
        </w:rPr>
      </w:pPr>
      <w:r>
        <w:rPr>
          <w:rFonts w:hint="eastAsia" w:ascii="宋体" w:hAnsi="宋体" w:cs="宋体"/>
          <w:kern w:val="0"/>
          <w:szCs w:val="21"/>
        </w:rPr>
        <w:t>我行承诺：不论是否经我行知晓或同意，我行的义务和责任不因发包人与承包人对合同条款所作的任何修改或补充而解除。</w:t>
      </w:r>
    </w:p>
    <w:p>
      <w:pPr>
        <w:spacing w:line="240" w:lineRule="auto"/>
        <w:ind w:firstLine="380"/>
        <w:jc w:val="left"/>
        <w:rPr>
          <w:rFonts w:ascii="宋体" w:hAnsi="宋体" w:cs="宋体"/>
          <w:kern w:val="0"/>
          <w:szCs w:val="21"/>
        </w:rPr>
      </w:pPr>
      <w:r>
        <w:rPr>
          <w:rFonts w:hint="eastAsia" w:ascii="宋体" w:hAnsi="宋体" w:cs="宋体"/>
          <w:kern w:val="0"/>
          <w:szCs w:val="21"/>
        </w:rPr>
        <w:t>本保函在担保金额支付完毕，或工程竣工验收合格，发包人向承包人颁发竣工验收证书后第15天起失效。</w:t>
      </w:r>
    </w:p>
    <w:p>
      <w:pPr>
        <w:spacing w:line="240" w:lineRule="auto"/>
        <w:ind w:firstLine="380"/>
        <w:rPr>
          <w:rFonts w:ascii="宋体" w:hAnsi="宋体" w:cs="宋体"/>
          <w:kern w:val="0"/>
          <w:szCs w:val="21"/>
        </w:rPr>
      </w:pPr>
      <w:r>
        <w:rPr>
          <w:rFonts w:hint="eastAsia" w:ascii="宋体" w:hAnsi="宋体" w:cs="宋体"/>
          <w:kern w:val="0"/>
          <w:szCs w:val="21"/>
        </w:rPr>
        <w:t xml:space="preserve">法定代表人或其授权的代理人：(签字签章) </w:t>
      </w:r>
    </w:p>
    <w:p>
      <w:pPr>
        <w:spacing w:line="240" w:lineRule="auto"/>
        <w:ind w:firstLine="380"/>
        <w:rPr>
          <w:rFonts w:ascii="宋体" w:hAnsi="宋体" w:cs="宋体"/>
          <w:kern w:val="0"/>
          <w:szCs w:val="21"/>
        </w:rPr>
      </w:pPr>
      <w:r>
        <w:rPr>
          <w:rFonts w:hint="eastAsia" w:ascii="宋体" w:hAnsi="宋体" w:cs="宋体"/>
          <w:kern w:val="0"/>
          <w:szCs w:val="21"/>
        </w:rPr>
        <w:t>担保银行盖章：</w:t>
      </w:r>
    </w:p>
    <w:p>
      <w:pPr>
        <w:spacing w:line="240" w:lineRule="auto"/>
        <w:ind w:firstLine="380"/>
        <w:rPr>
          <w:rFonts w:ascii="宋体" w:hAnsi="宋体" w:cs="宋体"/>
          <w:kern w:val="0"/>
          <w:szCs w:val="21"/>
        </w:rPr>
      </w:pPr>
      <w:r>
        <w:rPr>
          <w:rFonts w:hint="eastAsia" w:ascii="宋体" w:hAnsi="宋体" w:cs="宋体"/>
          <w:kern w:val="0"/>
          <w:szCs w:val="21"/>
        </w:rPr>
        <w:t>地址：</w:t>
      </w:r>
    </w:p>
    <w:p>
      <w:pPr>
        <w:spacing w:line="240" w:lineRule="auto"/>
        <w:ind w:firstLine="380"/>
        <w:rPr>
          <w:rFonts w:ascii="宋体" w:hAnsi="宋体" w:cs="宋体"/>
          <w:b/>
          <w:sz w:val="30"/>
          <w:szCs w:val="30"/>
        </w:rPr>
      </w:pPr>
      <w:r>
        <w:rPr>
          <w:rFonts w:hint="eastAsia" w:ascii="宋体" w:hAnsi="宋体" w:cs="宋体"/>
          <w:kern w:val="0"/>
          <w:szCs w:val="21"/>
        </w:rPr>
        <w:t>日期： 年 月</w:t>
      </w:r>
      <w:bookmarkStart w:id="538" w:name="_Toc14212"/>
      <w:r>
        <w:rPr>
          <w:rFonts w:hint="eastAsia" w:ascii="宋体" w:hAnsi="宋体" w:cs="宋体"/>
          <w:kern w:val="0"/>
          <w:szCs w:val="21"/>
        </w:rPr>
        <w:t xml:space="preserve">  日</w:t>
      </w:r>
    </w:p>
    <w:p>
      <w:pPr>
        <w:rPr>
          <w:rFonts w:ascii="宋体" w:hAnsi="宋体" w:cs="宋体"/>
          <w:b/>
          <w:sz w:val="30"/>
          <w:szCs w:val="30"/>
        </w:rPr>
      </w:pPr>
      <w:r>
        <w:rPr>
          <w:rFonts w:hint="eastAsia" w:ascii="宋体" w:hAnsi="宋体" w:cs="宋体"/>
          <w:b/>
          <w:sz w:val="30"/>
          <w:szCs w:val="30"/>
        </w:rPr>
        <w:br w:type="page"/>
      </w:r>
    </w:p>
    <w:p>
      <w:pPr>
        <w:tabs>
          <w:tab w:val="left" w:pos="432"/>
        </w:tabs>
        <w:rPr>
          <w:rFonts w:ascii="宋体" w:hAnsi="宋体" w:cs="宋体"/>
          <w:b/>
          <w:szCs w:val="21"/>
        </w:rPr>
      </w:pPr>
      <w:r>
        <w:rPr>
          <w:rFonts w:hint="eastAsia" w:ascii="宋体" w:hAnsi="宋体" w:cs="宋体"/>
          <w:b/>
          <w:szCs w:val="21"/>
        </w:rPr>
        <w:t>附件3：</w:t>
      </w:r>
      <w:bookmarkEnd w:id="538"/>
      <w:bookmarkStart w:id="539" w:name="_Toc29112"/>
    </w:p>
    <w:p>
      <w:pPr>
        <w:tabs>
          <w:tab w:val="left" w:pos="432"/>
        </w:tabs>
        <w:spacing w:line="240" w:lineRule="auto"/>
        <w:jc w:val="center"/>
        <w:rPr>
          <w:rFonts w:ascii="宋体" w:hAnsi="宋体" w:cs="宋体"/>
          <w:b/>
          <w:sz w:val="28"/>
          <w:szCs w:val="28"/>
        </w:rPr>
      </w:pPr>
      <w:r>
        <w:rPr>
          <w:rFonts w:hint="eastAsia" w:ascii="宋体" w:hAnsi="宋体" w:cs="宋体"/>
          <w:b/>
          <w:sz w:val="28"/>
          <w:szCs w:val="28"/>
        </w:rPr>
        <w:t>投标人声明</w:t>
      </w:r>
      <w:bookmarkEnd w:id="539"/>
    </w:p>
    <w:p>
      <w:pPr>
        <w:snapToGrid w:val="0"/>
        <w:spacing w:line="440" w:lineRule="exact"/>
        <w:jc w:val="center"/>
        <w:rPr>
          <w:rFonts w:ascii="宋体" w:hAnsi="宋体" w:cs="宋体"/>
          <w:kern w:val="0"/>
          <w:szCs w:val="21"/>
        </w:rPr>
      </w:pPr>
      <w:r>
        <w:rPr>
          <w:rFonts w:hint="eastAsia" w:ascii="宋体" w:hAnsi="宋体" w:cs="宋体"/>
          <w:kern w:val="0"/>
          <w:szCs w:val="21"/>
        </w:rPr>
        <w:t>关于遵守招标文件和履行施工合同的声明</w:t>
      </w:r>
    </w:p>
    <w:p>
      <w:pPr>
        <w:snapToGrid w:val="0"/>
        <w:spacing w:line="440" w:lineRule="exact"/>
        <w:jc w:val="left"/>
        <w:rPr>
          <w:rFonts w:ascii="宋体" w:hAnsi="宋体" w:cs="宋体"/>
          <w:kern w:val="0"/>
          <w:sz w:val="24"/>
        </w:rPr>
      </w:pPr>
    </w:p>
    <w:p>
      <w:pPr>
        <w:spacing w:line="240" w:lineRule="auto"/>
        <w:jc w:val="left"/>
        <w:rPr>
          <w:rFonts w:ascii="宋体" w:hAnsi="宋体" w:cs="宋体"/>
          <w:kern w:val="0"/>
          <w:szCs w:val="21"/>
        </w:rPr>
      </w:pPr>
      <w:r>
        <w:rPr>
          <w:rFonts w:hint="eastAsia" w:ascii="宋体" w:hAnsi="宋体" w:cs="宋体"/>
          <w:kern w:val="0"/>
          <w:szCs w:val="21"/>
        </w:rPr>
        <w:t>本招标项目招标人及招标监管机构：</w:t>
      </w:r>
    </w:p>
    <w:p>
      <w:pPr>
        <w:spacing w:line="240" w:lineRule="auto"/>
        <w:ind w:firstLine="380"/>
        <w:jc w:val="left"/>
        <w:rPr>
          <w:rFonts w:ascii="宋体" w:hAnsi="宋体" w:cs="宋体"/>
          <w:kern w:val="0"/>
          <w:szCs w:val="21"/>
        </w:rPr>
      </w:pPr>
      <w:r>
        <w:rPr>
          <w:rFonts w:hint="eastAsia" w:ascii="宋体" w:hAnsi="宋体" w:cs="宋体"/>
          <w:kern w:val="0"/>
          <w:szCs w:val="21"/>
        </w:rPr>
        <w:t>本公司就参加的投标工作，作出郑重声明：</w:t>
      </w:r>
    </w:p>
    <w:p>
      <w:pPr>
        <w:spacing w:line="240" w:lineRule="auto"/>
        <w:ind w:firstLine="380"/>
        <w:jc w:val="left"/>
        <w:rPr>
          <w:rFonts w:ascii="宋体" w:hAnsi="宋体" w:cs="宋体"/>
          <w:kern w:val="0"/>
          <w:szCs w:val="21"/>
        </w:rPr>
      </w:pPr>
      <w:r>
        <w:rPr>
          <w:rFonts w:hint="eastAsia" w:ascii="宋体" w:hAnsi="宋体" w:cs="宋体"/>
          <w:kern w:val="0"/>
          <w:szCs w:val="21"/>
        </w:rPr>
        <w:t>一、保证按照《中华人民共和国招标投标法》及其《实施条例》的规定参加投标，所提供的一切材料都是真实、有效、合法的；保证投标文件不与其他投标人的投标文件相互混装（以评标报告认定为准）；保证不委托其他单位或个人办理投标事宜（以评标报告认定为准）；保证不让任何单位和个人挂靠；保证不发生围标串标行为；保证不发生弄虚作假行为；保证不进行恶意异议和投诉。</w:t>
      </w:r>
    </w:p>
    <w:p>
      <w:pPr>
        <w:spacing w:line="240" w:lineRule="auto"/>
        <w:ind w:firstLine="380"/>
        <w:jc w:val="left"/>
        <w:rPr>
          <w:rFonts w:ascii="宋体" w:hAnsi="宋体" w:cs="宋体"/>
          <w:kern w:val="0"/>
          <w:szCs w:val="21"/>
        </w:rPr>
      </w:pPr>
      <w:r>
        <w:rPr>
          <w:rFonts w:hint="eastAsia" w:ascii="宋体" w:hAnsi="宋体" w:cs="宋体"/>
          <w:kern w:val="0"/>
          <w:szCs w:val="21"/>
        </w:rPr>
        <w:t>二、若成为本工程的中标人，我公司将严格遵守招标文件和履行施工合同的下列要求：</w:t>
      </w:r>
    </w:p>
    <w:p>
      <w:pPr>
        <w:spacing w:line="240" w:lineRule="auto"/>
        <w:ind w:firstLine="380"/>
        <w:jc w:val="left"/>
        <w:rPr>
          <w:rFonts w:ascii="宋体" w:hAnsi="宋体" w:cs="宋体"/>
          <w:kern w:val="0"/>
          <w:szCs w:val="21"/>
        </w:rPr>
      </w:pPr>
      <w:r>
        <w:rPr>
          <w:rFonts w:hint="eastAsia" w:ascii="宋体" w:hAnsi="宋体" w:cs="宋体"/>
          <w:kern w:val="0"/>
          <w:szCs w:val="21"/>
        </w:rPr>
        <w:t>1、订立合同：在招标文件规定的限期内与招标人订立施工承包合同。</w:t>
      </w:r>
    </w:p>
    <w:p>
      <w:pPr>
        <w:spacing w:line="240" w:lineRule="auto"/>
        <w:ind w:firstLine="380"/>
        <w:jc w:val="left"/>
        <w:rPr>
          <w:rFonts w:ascii="宋体" w:hAnsi="宋体" w:cs="宋体"/>
          <w:kern w:val="0"/>
          <w:szCs w:val="21"/>
        </w:rPr>
      </w:pPr>
      <w:r>
        <w:rPr>
          <w:rFonts w:hint="eastAsia" w:ascii="宋体" w:hAnsi="宋体" w:cs="宋体"/>
          <w:kern w:val="0"/>
          <w:szCs w:val="21"/>
        </w:rPr>
        <w:t>2、施工现场技术和管理人员</w:t>
      </w:r>
    </w:p>
    <w:p>
      <w:pPr>
        <w:spacing w:line="240" w:lineRule="auto"/>
        <w:ind w:firstLine="380"/>
        <w:jc w:val="left"/>
        <w:rPr>
          <w:rFonts w:ascii="宋体" w:hAnsi="宋体" w:cs="宋体"/>
          <w:kern w:val="0"/>
          <w:szCs w:val="21"/>
        </w:rPr>
      </w:pPr>
      <w:r>
        <w:rPr>
          <w:rFonts w:hint="eastAsia" w:ascii="宋体" w:hAnsi="宋体" w:cs="宋体"/>
          <w:kern w:val="0"/>
          <w:szCs w:val="21"/>
        </w:rPr>
        <w:t>（1）投标承诺及派驻现场的项目管理架构中全部技术和管理人员均为我公司员工。</w:t>
      </w:r>
    </w:p>
    <w:p>
      <w:pPr>
        <w:spacing w:line="240" w:lineRule="auto"/>
        <w:ind w:firstLine="380"/>
        <w:jc w:val="left"/>
        <w:rPr>
          <w:rFonts w:ascii="宋体" w:hAnsi="宋体" w:cs="宋体"/>
          <w:kern w:val="0"/>
          <w:szCs w:val="21"/>
        </w:rPr>
      </w:pPr>
      <w:r>
        <w:rPr>
          <w:rFonts w:hint="eastAsia" w:ascii="宋体" w:hAnsi="宋体" w:cs="宋体"/>
          <w:kern w:val="0"/>
          <w:szCs w:val="21"/>
        </w:rPr>
        <w:t>（2）根据本工程建设的实际需要适当设置的项目管理架构，委派的技术和管理人员的数量、资质和实际工作能力均满足本工程建设实施要求。</w:t>
      </w:r>
    </w:p>
    <w:p>
      <w:pPr>
        <w:spacing w:line="240" w:lineRule="auto"/>
        <w:ind w:firstLine="380"/>
        <w:jc w:val="left"/>
        <w:rPr>
          <w:rFonts w:ascii="宋体" w:hAnsi="宋体" w:cs="宋体"/>
          <w:kern w:val="0"/>
          <w:szCs w:val="21"/>
        </w:rPr>
      </w:pPr>
      <w:r>
        <w:rPr>
          <w:rFonts w:hint="eastAsia" w:ascii="宋体" w:hAnsi="宋体" w:cs="宋体"/>
          <w:kern w:val="0"/>
          <w:szCs w:val="21"/>
        </w:rPr>
        <w:t>（3）在收到发包人进场通知的3天内，所有技术和管理人员全部到位，进入现场办公，严格遵守茂名市建筑从业人员实名制管理相关规定。</w:t>
      </w:r>
    </w:p>
    <w:p>
      <w:pPr>
        <w:spacing w:line="240" w:lineRule="auto"/>
        <w:ind w:firstLine="380"/>
        <w:jc w:val="left"/>
        <w:rPr>
          <w:rFonts w:ascii="宋体" w:hAnsi="宋体" w:cs="宋体"/>
          <w:kern w:val="0"/>
          <w:szCs w:val="21"/>
        </w:rPr>
      </w:pPr>
      <w:r>
        <w:rPr>
          <w:rFonts w:hint="eastAsia" w:ascii="宋体" w:hAnsi="宋体" w:cs="宋体"/>
          <w:kern w:val="0"/>
          <w:szCs w:val="21"/>
        </w:rPr>
        <w:t>（4）若因技术或管理人员未按投标承诺的人员和时间到位、或人员的实际工作能力和工作表现达不到招标文件明确要求或投标文件的承诺、或工作态度存在严重不足，不适应现场工作需要，我公司愿按发包人要求撤换不合格人员，并保证后任人员的资质、资历、业绩及实际工作能力不低于前任人员的水平。</w:t>
      </w:r>
    </w:p>
    <w:p>
      <w:pPr>
        <w:spacing w:line="240" w:lineRule="auto"/>
        <w:ind w:firstLine="380"/>
        <w:jc w:val="left"/>
        <w:rPr>
          <w:rFonts w:ascii="宋体" w:hAnsi="宋体" w:cs="宋体"/>
          <w:kern w:val="0"/>
          <w:szCs w:val="21"/>
        </w:rPr>
      </w:pPr>
      <w:r>
        <w:rPr>
          <w:rFonts w:hint="eastAsia" w:ascii="宋体" w:hAnsi="宋体" w:cs="宋体"/>
          <w:kern w:val="0"/>
          <w:szCs w:val="21"/>
        </w:rPr>
        <w:t>3、工期：保证尽一切力量确保投标承诺的工期。本公司充分了解和预计在施工过程中，本项目可能会存在比正常项目更多的阻碍工期的情况出现，保证不因自身原因导致实际工期超过合同竣工时间。</w:t>
      </w:r>
    </w:p>
    <w:p>
      <w:pPr>
        <w:spacing w:line="240" w:lineRule="auto"/>
        <w:ind w:firstLine="380"/>
        <w:jc w:val="left"/>
        <w:rPr>
          <w:rFonts w:ascii="宋体" w:hAnsi="宋体" w:cs="宋体"/>
          <w:kern w:val="0"/>
          <w:szCs w:val="21"/>
        </w:rPr>
      </w:pPr>
      <w:r>
        <w:rPr>
          <w:rFonts w:hint="eastAsia" w:ascii="宋体" w:hAnsi="宋体" w:cs="宋体"/>
          <w:kern w:val="0"/>
          <w:szCs w:val="21"/>
        </w:rPr>
        <w:t>4、材料、设备：保证准备并供应充足的材料设备，按投标承诺的时间全部按时到位。不因任何材料、设备因素阻碍工期而影响投标承诺的竣工日期。</w:t>
      </w:r>
    </w:p>
    <w:p>
      <w:pPr>
        <w:spacing w:line="240" w:lineRule="auto"/>
        <w:ind w:firstLine="380"/>
        <w:jc w:val="left"/>
        <w:rPr>
          <w:rFonts w:ascii="宋体" w:hAnsi="宋体" w:cs="宋体"/>
          <w:kern w:val="0"/>
          <w:szCs w:val="21"/>
        </w:rPr>
      </w:pPr>
      <w:r>
        <w:rPr>
          <w:rFonts w:hint="eastAsia" w:ascii="宋体" w:hAnsi="宋体" w:cs="宋体"/>
          <w:kern w:val="0"/>
          <w:szCs w:val="21"/>
        </w:rPr>
        <w:t>5、质量、安全：保证实现本工程招标文件所确定的工程质量、安全目标计划，落实企业全员安全生产责任制，且按茂名市有关文件及本工程招标文件文明施工管理方案中的要求进行文明施工管理。</w:t>
      </w:r>
    </w:p>
    <w:p>
      <w:pPr>
        <w:spacing w:line="240" w:lineRule="auto"/>
        <w:ind w:firstLine="380"/>
        <w:jc w:val="left"/>
        <w:rPr>
          <w:rFonts w:ascii="宋体" w:hAnsi="宋体" w:cs="宋体"/>
          <w:kern w:val="0"/>
          <w:szCs w:val="21"/>
        </w:rPr>
      </w:pPr>
      <w:r>
        <w:rPr>
          <w:rFonts w:hint="eastAsia" w:ascii="宋体" w:hAnsi="宋体" w:cs="宋体"/>
          <w:kern w:val="0"/>
          <w:szCs w:val="21"/>
        </w:rPr>
        <w:t>6、不发生出借资质、转包、违法分包行为。</w:t>
      </w:r>
    </w:p>
    <w:p>
      <w:pPr>
        <w:spacing w:line="240" w:lineRule="auto"/>
        <w:ind w:firstLine="380"/>
        <w:jc w:val="left"/>
        <w:rPr>
          <w:rFonts w:ascii="宋体" w:hAnsi="宋体" w:cs="宋体"/>
          <w:kern w:val="0"/>
          <w:szCs w:val="21"/>
        </w:rPr>
      </w:pPr>
      <w:r>
        <w:rPr>
          <w:rFonts w:hint="eastAsia" w:ascii="宋体" w:hAnsi="宋体" w:cs="宋体"/>
          <w:kern w:val="0"/>
          <w:szCs w:val="21"/>
        </w:rPr>
        <w:t>7、不拖欠或克扣劳务人员工资，不拖欠材料、设备价款、分包合同工程款（如有分包工程）。</w:t>
      </w:r>
    </w:p>
    <w:p>
      <w:pPr>
        <w:spacing w:line="240" w:lineRule="auto"/>
        <w:ind w:firstLine="380"/>
        <w:jc w:val="left"/>
        <w:rPr>
          <w:rFonts w:ascii="宋体" w:hAnsi="宋体" w:cs="宋体"/>
          <w:kern w:val="0"/>
          <w:szCs w:val="21"/>
        </w:rPr>
      </w:pPr>
      <w:r>
        <w:rPr>
          <w:rFonts w:hint="eastAsia" w:ascii="宋体" w:hAnsi="宋体" w:cs="宋体"/>
          <w:kern w:val="0"/>
          <w:szCs w:val="21"/>
        </w:rPr>
        <w:t>8、承诺按中标价限额施工。</w:t>
      </w:r>
    </w:p>
    <w:p>
      <w:pPr>
        <w:spacing w:line="240" w:lineRule="auto"/>
        <w:ind w:firstLine="380"/>
        <w:jc w:val="left"/>
        <w:rPr>
          <w:rFonts w:ascii="宋体" w:hAnsi="宋体" w:cs="宋体"/>
          <w:kern w:val="0"/>
          <w:szCs w:val="21"/>
        </w:rPr>
      </w:pPr>
      <w:r>
        <w:rPr>
          <w:rFonts w:hint="eastAsia" w:ascii="宋体" w:hAnsi="宋体" w:cs="宋体"/>
          <w:kern w:val="0"/>
          <w:szCs w:val="21"/>
        </w:rPr>
        <w:t>三、如不能履行上述承诺，本公司愿意承担由此带来的法律后果，并自愿无条件地接受招标人和建设行政主管部门的以下处理：</w:t>
      </w:r>
    </w:p>
    <w:p>
      <w:pPr>
        <w:spacing w:line="240" w:lineRule="auto"/>
        <w:ind w:firstLine="380"/>
        <w:jc w:val="left"/>
        <w:rPr>
          <w:rFonts w:ascii="宋体" w:hAnsi="宋体" w:cs="宋体"/>
          <w:kern w:val="0"/>
          <w:szCs w:val="21"/>
        </w:rPr>
      </w:pPr>
      <w:r>
        <w:rPr>
          <w:rFonts w:hint="eastAsia" w:ascii="宋体" w:hAnsi="宋体" w:cs="宋体"/>
          <w:kern w:val="0"/>
          <w:szCs w:val="21"/>
        </w:rPr>
        <w:t>1、取消中标资格或者解除合同；</w:t>
      </w:r>
    </w:p>
    <w:p>
      <w:pPr>
        <w:spacing w:line="240" w:lineRule="auto"/>
        <w:ind w:firstLine="380"/>
        <w:jc w:val="left"/>
        <w:rPr>
          <w:rFonts w:ascii="宋体" w:hAnsi="宋体" w:cs="宋体"/>
          <w:kern w:val="0"/>
          <w:szCs w:val="21"/>
        </w:rPr>
      </w:pPr>
      <w:r>
        <w:rPr>
          <w:rFonts w:hint="eastAsia" w:ascii="宋体" w:hAnsi="宋体" w:cs="宋体"/>
          <w:kern w:val="0"/>
          <w:szCs w:val="21"/>
        </w:rPr>
        <w:t>2、由招标人没收投标保证金或合同履约保证金；</w:t>
      </w:r>
    </w:p>
    <w:p>
      <w:pPr>
        <w:spacing w:line="240" w:lineRule="auto"/>
        <w:ind w:firstLine="380"/>
        <w:jc w:val="left"/>
        <w:rPr>
          <w:rFonts w:ascii="宋体" w:hAnsi="宋体" w:cs="宋体"/>
          <w:kern w:val="0"/>
          <w:szCs w:val="21"/>
        </w:rPr>
      </w:pPr>
      <w:r>
        <w:rPr>
          <w:rFonts w:hint="eastAsia" w:ascii="宋体" w:hAnsi="宋体" w:cs="宋体"/>
          <w:kern w:val="0"/>
          <w:szCs w:val="21"/>
        </w:rPr>
        <w:t>3、两年内（或五年内）停止参与茂名市财政资金建设工程的投标；</w:t>
      </w:r>
    </w:p>
    <w:p>
      <w:pPr>
        <w:spacing w:line="240" w:lineRule="auto"/>
        <w:ind w:firstLine="380"/>
        <w:jc w:val="left"/>
        <w:rPr>
          <w:rFonts w:ascii="宋体" w:hAnsi="宋体" w:cs="宋体"/>
          <w:kern w:val="0"/>
          <w:szCs w:val="21"/>
        </w:rPr>
      </w:pPr>
      <w:r>
        <w:rPr>
          <w:rFonts w:hint="eastAsia" w:ascii="宋体" w:hAnsi="宋体" w:cs="宋体"/>
          <w:kern w:val="0"/>
          <w:szCs w:val="21"/>
        </w:rPr>
        <w:t>4、对不良行为予以记录，并进行公告；</w:t>
      </w:r>
    </w:p>
    <w:p>
      <w:pPr>
        <w:spacing w:line="240" w:lineRule="auto"/>
        <w:ind w:firstLine="380"/>
        <w:jc w:val="left"/>
        <w:rPr>
          <w:rFonts w:ascii="宋体" w:hAnsi="宋体" w:cs="宋体"/>
          <w:kern w:val="0"/>
          <w:szCs w:val="21"/>
        </w:rPr>
      </w:pPr>
      <w:r>
        <w:rPr>
          <w:rFonts w:hint="eastAsia" w:ascii="宋体" w:hAnsi="宋体" w:cs="宋体"/>
          <w:kern w:val="0"/>
          <w:szCs w:val="21"/>
        </w:rPr>
        <w:t>5、报茂名市建设行政主管部门备案，并提请上级相关行政主管部门依法进行处罚；</w:t>
      </w:r>
    </w:p>
    <w:p>
      <w:pPr>
        <w:spacing w:line="240" w:lineRule="auto"/>
        <w:ind w:firstLine="380"/>
        <w:jc w:val="left"/>
        <w:rPr>
          <w:rFonts w:ascii="宋体" w:hAnsi="宋体" w:cs="宋体"/>
          <w:kern w:val="0"/>
          <w:szCs w:val="21"/>
        </w:rPr>
      </w:pPr>
      <w:r>
        <w:rPr>
          <w:rFonts w:hint="eastAsia" w:ascii="宋体" w:hAnsi="宋体" w:cs="宋体"/>
          <w:kern w:val="0"/>
          <w:szCs w:val="21"/>
        </w:rPr>
        <w:t>6、其他行政处理决定。</w:t>
      </w:r>
    </w:p>
    <w:p>
      <w:pPr>
        <w:spacing w:line="240" w:lineRule="auto"/>
        <w:ind w:firstLine="380"/>
        <w:jc w:val="left"/>
        <w:rPr>
          <w:rFonts w:ascii="宋体" w:hAnsi="宋体" w:cs="宋体"/>
          <w:kern w:val="0"/>
          <w:szCs w:val="21"/>
        </w:rPr>
      </w:pPr>
      <w:r>
        <w:rPr>
          <w:rFonts w:hint="eastAsia" w:ascii="宋体" w:hAnsi="宋体" w:cs="宋体"/>
          <w:kern w:val="0"/>
          <w:szCs w:val="21"/>
        </w:rPr>
        <w:t>特此声明</w:t>
      </w:r>
    </w:p>
    <w:p>
      <w:pPr>
        <w:snapToGrid w:val="0"/>
        <w:spacing w:line="440" w:lineRule="exact"/>
        <w:ind w:firstLine="506" w:firstLineChars="200"/>
        <w:jc w:val="center"/>
        <w:rPr>
          <w:rFonts w:ascii="宋体" w:hAnsi="宋体" w:cs="宋体"/>
          <w:spacing w:val="15"/>
          <w:kern w:val="0"/>
          <w:sz w:val="24"/>
        </w:rPr>
      </w:pPr>
    </w:p>
    <w:p>
      <w:pPr>
        <w:snapToGrid w:val="0"/>
        <w:spacing w:line="520" w:lineRule="exact"/>
        <w:ind w:firstLine="446" w:firstLineChars="200"/>
        <w:jc w:val="right"/>
        <w:rPr>
          <w:rFonts w:ascii="宋体" w:hAnsi="宋体" w:cs="宋体"/>
          <w:spacing w:val="15"/>
          <w:kern w:val="0"/>
          <w:szCs w:val="21"/>
        </w:rPr>
      </w:pPr>
      <w:r>
        <w:rPr>
          <w:rFonts w:hint="eastAsia" w:ascii="宋体" w:hAnsi="宋体" w:cs="宋体"/>
          <w:spacing w:val="15"/>
          <w:kern w:val="0"/>
          <w:szCs w:val="21"/>
        </w:rPr>
        <w:t>声明企业：</w:t>
      </w:r>
      <w:r>
        <w:rPr>
          <w:rFonts w:hint="eastAsia" w:ascii="宋体" w:hAnsi="宋体" w:cs="宋体"/>
          <w:spacing w:val="15"/>
          <w:kern w:val="0"/>
          <w:szCs w:val="21"/>
          <w:u w:val="single"/>
        </w:rPr>
        <w:t xml:space="preserve">    (企业公章)</w:t>
      </w:r>
    </w:p>
    <w:p>
      <w:pPr>
        <w:snapToGrid w:val="0"/>
        <w:spacing w:line="520" w:lineRule="exact"/>
        <w:ind w:firstLine="446" w:firstLineChars="200"/>
        <w:jc w:val="right"/>
        <w:rPr>
          <w:rFonts w:ascii="宋体" w:hAnsi="宋体" w:cs="宋体"/>
          <w:b/>
          <w:kern w:val="0"/>
          <w:szCs w:val="21"/>
        </w:rPr>
      </w:pPr>
      <w:r>
        <w:rPr>
          <w:rFonts w:hint="eastAsia" w:ascii="宋体" w:hAnsi="宋体" w:cs="宋体"/>
          <w:spacing w:val="15"/>
          <w:kern w:val="0"/>
          <w:szCs w:val="21"/>
        </w:rPr>
        <w:t>法定代表人：</w:t>
      </w:r>
      <w:r>
        <w:rPr>
          <w:rFonts w:hint="eastAsia" w:ascii="宋体" w:hAnsi="宋体" w:cs="宋体"/>
          <w:spacing w:val="15"/>
          <w:kern w:val="0"/>
          <w:szCs w:val="21"/>
          <w:u w:val="single"/>
        </w:rPr>
        <w:t>（签字）</w:t>
      </w:r>
    </w:p>
    <w:p>
      <w:pPr>
        <w:pStyle w:val="2"/>
        <w:ind w:firstLine="2888" w:firstLineChars="1409"/>
        <w:jc w:val="right"/>
        <w:rPr>
          <w:rFonts w:ascii="宋体" w:hAnsi="宋体" w:eastAsia="宋体" w:cs="宋体"/>
        </w:rPr>
      </w:pPr>
      <w:r>
        <w:rPr>
          <w:rFonts w:hint="eastAsia" w:ascii="宋体" w:hAnsi="宋体" w:eastAsia="宋体" w:cs="宋体"/>
          <w:spacing w:val="6"/>
        </w:rPr>
        <w:t>日期：_______年_____月____日</w:t>
      </w:r>
    </w:p>
    <w:p>
      <w:pPr>
        <w:rPr>
          <w:rFonts w:ascii="宋体" w:hAnsi="宋体" w:cs="宋体"/>
          <w:b/>
          <w:sz w:val="30"/>
          <w:szCs w:val="30"/>
        </w:rPr>
      </w:pPr>
    </w:p>
    <w:p>
      <w:pPr>
        <w:rPr>
          <w:rFonts w:ascii="宋体" w:hAnsi="宋体" w:cs="宋体"/>
          <w:b/>
          <w:szCs w:val="21"/>
        </w:rPr>
      </w:pPr>
      <w:r>
        <w:rPr>
          <w:rFonts w:hint="eastAsia" w:ascii="宋体" w:hAnsi="宋体" w:cs="宋体"/>
          <w:b/>
          <w:szCs w:val="21"/>
        </w:rPr>
        <w:br w:type="page"/>
      </w:r>
    </w:p>
    <w:p>
      <w:pPr>
        <w:rPr>
          <w:rFonts w:ascii="宋体" w:hAnsi="宋体" w:cs="宋体"/>
          <w:b/>
          <w:sz w:val="30"/>
          <w:szCs w:val="30"/>
        </w:rPr>
      </w:pPr>
      <w:r>
        <w:rPr>
          <w:rFonts w:hint="eastAsia" w:ascii="宋体" w:hAnsi="宋体" w:cs="宋体"/>
          <w:b/>
          <w:szCs w:val="21"/>
        </w:rPr>
        <w:t>附</w:t>
      </w:r>
      <w:bookmarkStart w:id="540" w:name="_Toc296944571"/>
      <w:bookmarkStart w:id="541" w:name="_Toc296891060"/>
      <w:bookmarkStart w:id="542" w:name="_Toc296347231"/>
      <w:bookmarkStart w:id="543" w:name="_Toc296891272"/>
      <w:bookmarkStart w:id="544" w:name="_Toc267261702"/>
      <w:bookmarkStart w:id="545" w:name="_Toc296503232"/>
      <w:bookmarkStart w:id="546" w:name="_Toc296346733"/>
      <w:r>
        <w:rPr>
          <w:rFonts w:hint="eastAsia" w:ascii="宋体" w:hAnsi="宋体" w:cs="宋体"/>
          <w:b/>
          <w:szCs w:val="21"/>
        </w:rPr>
        <w:t>件4：</w:t>
      </w:r>
    </w:p>
    <w:bookmarkEnd w:id="540"/>
    <w:bookmarkEnd w:id="541"/>
    <w:bookmarkEnd w:id="542"/>
    <w:bookmarkEnd w:id="543"/>
    <w:bookmarkEnd w:id="544"/>
    <w:bookmarkEnd w:id="545"/>
    <w:bookmarkEnd w:id="546"/>
    <w:p>
      <w:pPr>
        <w:tabs>
          <w:tab w:val="left" w:pos="432"/>
        </w:tabs>
        <w:spacing w:line="240" w:lineRule="auto"/>
        <w:jc w:val="center"/>
        <w:rPr>
          <w:rFonts w:ascii="宋体" w:hAnsi="宋体" w:cs="宋体"/>
          <w:b/>
          <w:sz w:val="28"/>
          <w:szCs w:val="28"/>
        </w:rPr>
      </w:pPr>
      <w:r>
        <w:rPr>
          <w:rFonts w:hint="eastAsia" w:ascii="宋体" w:hAnsi="宋体" w:cs="宋体"/>
          <w:b/>
          <w:sz w:val="28"/>
          <w:szCs w:val="28"/>
        </w:rPr>
        <w:t>预付款担保</w:t>
      </w:r>
    </w:p>
    <w:p>
      <w:pPr>
        <w:widowControl w:val="0"/>
        <w:spacing w:line="240" w:lineRule="auto"/>
        <w:rPr>
          <w:rFonts w:ascii="宋体" w:hAnsi="宋体" w:cs="宋体"/>
          <w:szCs w:val="21"/>
        </w:rPr>
      </w:pP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rPr>
        <w:t>（发包人名称）：</w:t>
      </w:r>
    </w:p>
    <w:p>
      <w:pPr>
        <w:widowControl w:val="0"/>
        <w:spacing w:line="240" w:lineRule="auto"/>
        <w:ind w:firstLine="386" w:firstLineChars="200"/>
        <w:rPr>
          <w:rFonts w:ascii="宋体" w:hAnsi="宋体" w:cs="宋体"/>
          <w:szCs w:val="21"/>
        </w:rPr>
      </w:pPr>
      <w:r>
        <w:rPr>
          <w:rFonts w:hint="eastAsia" w:ascii="宋体" w:hAnsi="宋体" w:cs="宋体"/>
          <w:szCs w:val="21"/>
        </w:rPr>
        <w:t>根据（承包人名称）（以下称“承包人”）与（发包人名称）（以下简称“发包人”）于 年 月 日签订的（工程名称）《建设工程施工合同》，承包人按约定的金额向你方提交一份预付款担保，即有权得到你方支付相等金额的预付款。我方愿意就你方提供给承包人的预付款为承包人提供连带责任担保。</w:t>
      </w:r>
    </w:p>
    <w:p>
      <w:pPr>
        <w:widowControl w:val="0"/>
        <w:spacing w:line="240" w:lineRule="auto"/>
        <w:ind w:firstLine="386" w:firstLineChars="200"/>
        <w:rPr>
          <w:rFonts w:ascii="宋体" w:hAnsi="宋体" w:cs="宋体"/>
          <w:szCs w:val="21"/>
        </w:rPr>
      </w:pPr>
      <w:r>
        <w:rPr>
          <w:rFonts w:hint="eastAsia" w:ascii="宋体" w:hAnsi="宋体" w:cs="宋体"/>
          <w:szCs w:val="21"/>
        </w:rPr>
        <w:t>1. 担保金额人民币（大写）元（¥ ）。</w:t>
      </w:r>
    </w:p>
    <w:p>
      <w:pPr>
        <w:widowControl w:val="0"/>
        <w:spacing w:line="240" w:lineRule="auto"/>
        <w:ind w:firstLine="386" w:firstLineChars="200"/>
        <w:rPr>
          <w:rFonts w:ascii="宋体" w:hAnsi="宋体" w:cs="宋体"/>
          <w:szCs w:val="21"/>
        </w:rPr>
      </w:pPr>
      <w:r>
        <w:rPr>
          <w:rFonts w:hint="eastAsia" w:ascii="宋体" w:hAnsi="宋体" w:cs="宋体"/>
          <w:szCs w:val="21"/>
        </w:rPr>
        <w:t>2. 担保有效期自预付款支付给承包人起生效，至你方签发的进度款支付证书说明已完全扣清止。</w:t>
      </w:r>
    </w:p>
    <w:p>
      <w:pPr>
        <w:widowControl w:val="0"/>
        <w:spacing w:line="240" w:lineRule="auto"/>
        <w:ind w:firstLine="386" w:firstLineChars="200"/>
        <w:rPr>
          <w:rFonts w:ascii="宋体" w:hAnsi="宋体" w:cs="宋体"/>
          <w:szCs w:val="21"/>
        </w:rPr>
      </w:pPr>
      <w:r>
        <w:rPr>
          <w:rFonts w:hint="eastAsia" w:ascii="宋体" w:hAnsi="宋体" w:cs="宋体"/>
          <w:szCs w:val="21"/>
        </w:rPr>
        <w:t>3. 在本保函有效期内，因承包人违反合同约定的义务而要求收回预付款时，我方在收到你方的书面通知后，在７天内无条件支付。但本保函的担保金额，在任何时候不应超过预付款金额减去你方按合同约定在向承包人签发的进度款支付证书中扣除的金额。</w:t>
      </w:r>
    </w:p>
    <w:p>
      <w:pPr>
        <w:widowControl w:val="0"/>
        <w:spacing w:line="240" w:lineRule="auto"/>
        <w:ind w:firstLine="386" w:firstLineChars="200"/>
        <w:rPr>
          <w:rFonts w:ascii="宋体" w:hAnsi="宋体" w:cs="宋体"/>
          <w:szCs w:val="21"/>
        </w:rPr>
      </w:pPr>
      <w:r>
        <w:rPr>
          <w:rFonts w:hint="eastAsia" w:ascii="宋体" w:hAnsi="宋体" w:cs="宋体"/>
          <w:szCs w:val="21"/>
        </w:rPr>
        <w:t>4. 你方和承包人按合同约定变更合同时，我方承担本保函规定的义务不变。</w:t>
      </w:r>
    </w:p>
    <w:p>
      <w:pPr>
        <w:widowControl w:val="0"/>
        <w:spacing w:line="240" w:lineRule="auto"/>
        <w:ind w:firstLine="386" w:firstLineChars="200"/>
        <w:jc w:val="left"/>
        <w:rPr>
          <w:rFonts w:ascii="宋体" w:hAnsi="宋体" w:cs="宋体"/>
          <w:szCs w:val="21"/>
        </w:rPr>
      </w:pPr>
      <w:r>
        <w:rPr>
          <w:rFonts w:hint="eastAsia" w:ascii="宋体" w:hAnsi="宋体" w:cs="宋体"/>
          <w:szCs w:val="21"/>
        </w:rPr>
        <w:t>5. 因本保函发生的纠纷，可由双方协商解决，协商不成的，任何一方均可提请仲裁委员会仲裁。</w:t>
      </w:r>
    </w:p>
    <w:p>
      <w:pPr>
        <w:widowControl w:val="0"/>
        <w:spacing w:line="240" w:lineRule="auto"/>
        <w:ind w:firstLine="386" w:firstLineChars="200"/>
        <w:jc w:val="left"/>
        <w:rPr>
          <w:rFonts w:ascii="宋体" w:hAnsi="宋体" w:cs="宋体"/>
          <w:szCs w:val="21"/>
        </w:rPr>
      </w:pPr>
      <w:r>
        <w:rPr>
          <w:rFonts w:hint="eastAsia" w:ascii="宋体" w:hAnsi="宋体" w:cs="宋体"/>
          <w:szCs w:val="21"/>
        </w:rPr>
        <w:t>6. 本保函自我方法定代表人（或其授权代理人）签字并加盖公章之日起生效。</w:t>
      </w:r>
    </w:p>
    <w:p>
      <w:pPr>
        <w:widowControl w:val="0"/>
        <w:spacing w:line="240" w:lineRule="auto"/>
        <w:rPr>
          <w:rFonts w:ascii="宋体" w:hAnsi="宋体" w:cs="宋体"/>
          <w:szCs w:val="21"/>
        </w:rPr>
      </w:pPr>
    </w:p>
    <w:p>
      <w:pPr>
        <w:widowControl w:val="0"/>
        <w:spacing w:line="240" w:lineRule="auto"/>
        <w:rPr>
          <w:rFonts w:ascii="宋体" w:hAnsi="宋体" w:cs="宋体"/>
          <w:szCs w:val="21"/>
        </w:rPr>
      </w:pPr>
      <w:r>
        <w:rPr>
          <w:rFonts w:hint="eastAsia" w:ascii="宋体" w:hAnsi="宋体" w:cs="宋体"/>
          <w:szCs w:val="21"/>
        </w:rPr>
        <w:t>担保人：（盖单位章）</w:t>
      </w:r>
    </w:p>
    <w:p>
      <w:pPr>
        <w:widowControl w:val="0"/>
        <w:spacing w:line="240" w:lineRule="auto"/>
        <w:rPr>
          <w:rFonts w:ascii="宋体" w:hAnsi="宋体" w:cs="宋体"/>
          <w:szCs w:val="21"/>
        </w:rPr>
      </w:pPr>
      <w:r>
        <w:rPr>
          <w:rFonts w:hint="eastAsia" w:ascii="宋体" w:hAnsi="宋体" w:cs="宋体"/>
          <w:szCs w:val="21"/>
        </w:rPr>
        <w:t>法定代表人或其委托代理人：（签字）</w:t>
      </w:r>
    </w:p>
    <w:p>
      <w:pPr>
        <w:widowControl w:val="0"/>
        <w:spacing w:line="240" w:lineRule="auto"/>
        <w:rPr>
          <w:rFonts w:ascii="宋体" w:hAnsi="宋体" w:cs="宋体"/>
          <w:szCs w:val="21"/>
        </w:rPr>
      </w:pPr>
      <w:r>
        <w:rPr>
          <w:rFonts w:hint="eastAsia" w:ascii="宋体" w:hAnsi="宋体" w:cs="宋体"/>
          <w:szCs w:val="21"/>
        </w:rPr>
        <w:t>地址：</w:t>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p>
    <w:p>
      <w:pPr>
        <w:widowControl w:val="0"/>
        <w:spacing w:line="240" w:lineRule="auto"/>
        <w:rPr>
          <w:rFonts w:ascii="宋体" w:hAnsi="宋体" w:cs="宋体"/>
          <w:szCs w:val="21"/>
          <w:u w:val="single"/>
        </w:rPr>
      </w:pPr>
      <w:r>
        <w:rPr>
          <w:rFonts w:hint="eastAsia" w:ascii="宋体" w:hAnsi="宋体" w:cs="宋体"/>
          <w:szCs w:val="21"/>
        </w:rPr>
        <w:t>邮政编码：</w:t>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p>
    <w:p>
      <w:pPr>
        <w:widowControl w:val="0"/>
        <w:spacing w:line="240" w:lineRule="auto"/>
        <w:rPr>
          <w:rFonts w:ascii="宋体" w:hAnsi="宋体" w:cs="宋体"/>
          <w:szCs w:val="21"/>
          <w:u w:val="single"/>
        </w:rPr>
      </w:pPr>
      <w:r>
        <w:rPr>
          <w:rFonts w:hint="eastAsia" w:ascii="宋体" w:hAnsi="宋体" w:cs="宋体"/>
          <w:szCs w:val="21"/>
        </w:rPr>
        <w:t>电话：</w:t>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p>
    <w:p>
      <w:pPr>
        <w:widowControl w:val="0"/>
        <w:spacing w:line="240" w:lineRule="auto"/>
        <w:rPr>
          <w:rFonts w:ascii="宋体" w:hAnsi="宋体" w:cs="宋体"/>
          <w:szCs w:val="21"/>
          <w:u w:val="single"/>
        </w:rPr>
      </w:pPr>
      <w:r>
        <w:rPr>
          <w:rFonts w:hint="eastAsia" w:ascii="宋体" w:hAnsi="宋体" w:cs="宋体"/>
          <w:szCs w:val="21"/>
        </w:rPr>
        <w:t>传真：</w:t>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p>
    <w:p>
      <w:pPr>
        <w:widowControl w:val="0"/>
        <w:spacing w:line="240" w:lineRule="auto"/>
        <w:rPr>
          <w:rFonts w:ascii="宋体" w:hAnsi="宋体" w:cs="宋体"/>
          <w:szCs w:val="21"/>
        </w:rPr>
      </w:pPr>
      <w:r>
        <w:rPr>
          <w:rFonts w:hint="eastAsia" w:ascii="宋体" w:hAnsi="宋体" w:cs="宋体"/>
          <w:szCs w:val="21"/>
        </w:rPr>
        <w:t>年 月 日</w:t>
      </w:r>
    </w:p>
    <w:p>
      <w:pPr>
        <w:rPr>
          <w:rFonts w:ascii="宋体" w:hAnsi="宋体" w:cs="宋体"/>
          <w:b/>
          <w:sz w:val="30"/>
          <w:szCs w:val="30"/>
        </w:rPr>
      </w:pPr>
      <w:r>
        <w:rPr>
          <w:rFonts w:hint="eastAsia" w:ascii="宋体" w:hAnsi="宋体" w:cs="宋体"/>
          <w:b/>
          <w:sz w:val="24"/>
        </w:rPr>
        <w:br w:type="page"/>
      </w:r>
      <w:r>
        <w:rPr>
          <w:rFonts w:hint="eastAsia" w:ascii="宋体" w:hAnsi="宋体" w:cs="宋体"/>
          <w:b/>
          <w:szCs w:val="21"/>
        </w:rPr>
        <w:t>附</w:t>
      </w:r>
      <w:bookmarkStart w:id="547" w:name="_Toc296944572"/>
      <w:bookmarkStart w:id="548" w:name="_Toc296503233"/>
      <w:bookmarkStart w:id="549" w:name="_Toc296891061"/>
      <w:bookmarkStart w:id="550" w:name="_Toc296346734"/>
      <w:bookmarkStart w:id="551" w:name="_Toc296891273"/>
      <w:bookmarkStart w:id="552" w:name="_Toc296347232"/>
      <w:r>
        <w:rPr>
          <w:rFonts w:hint="eastAsia" w:ascii="宋体" w:hAnsi="宋体" w:cs="宋体"/>
          <w:b/>
          <w:szCs w:val="21"/>
        </w:rPr>
        <w:t>件5</w:t>
      </w:r>
      <w:bookmarkEnd w:id="547"/>
      <w:bookmarkEnd w:id="548"/>
      <w:bookmarkEnd w:id="549"/>
      <w:bookmarkEnd w:id="550"/>
      <w:bookmarkEnd w:id="551"/>
      <w:bookmarkEnd w:id="552"/>
      <w:r>
        <w:rPr>
          <w:rFonts w:hint="eastAsia" w:ascii="宋体" w:hAnsi="宋体" w:cs="宋体"/>
          <w:b/>
          <w:szCs w:val="21"/>
        </w:rPr>
        <w:t>：</w:t>
      </w:r>
    </w:p>
    <w:p>
      <w:pPr>
        <w:tabs>
          <w:tab w:val="left" w:pos="432"/>
        </w:tabs>
        <w:spacing w:line="240" w:lineRule="auto"/>
        <w:jc w:val="center"/>
        <w:rPr>
          <w:rFonts w:ascii="宋体" w:hAnsi="宋体" w:cs="宋体"/>
          <w:b/>
          <w:sz w:val="28"/>
          <w:szCs w:val="28"/>
        </w:rPr>
      </w:pPr>
      <w:r>
        <w:rPr>
          <w:rFonts w:hint="eastAsia" w:ascii="宋体" w:hAnsi="宋体" w:cs="宋体"/>
          <w:b/>
          <w:sz w:val="28"/>
          <w:szCs w:val="28"/>
        </w:rPr>
        <w:t>支付担保</w:t>
      </w:r>
    </w:p>
    <w:p>
      <w:pPr>
        <w:spacing w:line="240" w:lineRule="auto"/>
        <w:jc w:val="left"/>
        <w:rPr>
          <w:rFonts w:ascii="宋体" w:hAnsi="宋体" w:cs="宋体"/>
          <w:szCs w:val="21"/>
        </w:rPr>
      </w:pPr>
      <w:r>
        <w:rPr>
          <w:rFonts w:hint="eastAsia" w:ascii="宋体" w:hAnsi="宋体" w:cs="宋体"/>
          <w:szCs w:val="21"/>
        </w:rPr>
        <w:t>（承包人）：</w:t>
      </w:r>
    </w:p>
    <w:p>
      <w:pPr>
        <w:spacing w:line="240" w:lineRule="auto"/>
        <w:ind w:firstLine="386" w:firstLineChars="200"/>
        <w:jc w:val="left"/>
        <w:rPr>
          <w:rFonts w:ascii="宋体" w:hAnsi="宋体" w:cs="宋体"/>
          <w:szCs w:val="21"/>
        </w:rPr>
      </w:pPr>
      <w:r>
        <w:rPr>
          <w:rFonts w:hint="eastAsia" w:ascii="宋体" w:hAnsi="宋体" w:cs="宋体"/>
          <w:szCs w:val="21"/>
        </w:rPr>
        <w:t>鉴于你方作为承包人已经与（发包人名称）（以下称“发包人”）于 年 月 日签订了（工程名称）《建设工程施工合同》（以下称“主合同”），应发包人的申请，我方愿就发包人履行主合同约定的工程款支付义务以保证的方式向你方提供如下担保：</w:t>
      </w:r>
    </w:p>
    <w:p>
      <w:pPr>
        <w:spacing w:line="240" w:lineRule="auto"/>
        <w:ind w:firstLine="386" w:firstLineChars="200"/>
        <w:rPr>
          <w:rFonts w:ascii="宋体" w:hAnsi="宋体" w:cs="宋体"/>
          <w:szCs w:val="21"/>
        </w:rPr>
      </w:pPr>
      <w:r>
        <w:rPr>
          <w:rFonts w:hint="eastAsia" w:ascii="宋体" w:hAnsi="宋体" w:cs="宋体"/>
          <w:szCs w:val="21"/>
        </w:rPr>
        <w:t>一、保证的范围及保证金额</w:t>
      </w:r>
    </w:p>
    <w:p>
      <w:pPr>
        <w:spacing w:line="240" w:lineRule="auto"/>
        <w:ind w:firstLine="386" w:firstLineChars="200"/>
        <w:jc w:val="left"/>
        <w:rPr>
          <w:rFonts w:ascii="宋体" w:hAnsi="宋体" w:cs="宋体"/>
          <w:szCs w:val="21"/>
        </w:rPr>
      </w:pPr>
      <w:r>
        <w:rPr>
          <w:rFonts w:hint="eastAsia" w:ascii="宋体" w:hAnsi="宋体" w:cs="宋体"/>
          <w:szCs w:val="21"/>
        </w:rPr>
        <w:t>1. 我方的保证范围是主合同约定的工程款。</w:t>
      </w:r>
    </w:p>
    <w:p>
      <w:pPr>
        <w:spacing w:line="240" w:lineRule="auto"/>
        <w:ind w:firstLine="386" w:firstLineChars="200"/>
        <w:jc w:val="left"/>
        <w:rPr>
          <w:rFonts w:ascii="宋体" w:hAnsi="宋体" w:cs="宋体"/>
          <w:szCs w:val="21"/>
        </w:rPr>
      </w:pPr>
      <w:r>
        <w:rPr>
          <w:rFonts w:hint="eastAsia" w:ascii="宋体" w:hAnsi="宋体" w:cs="宋体"/>
          <w:szCs w:val="21"/>
        </w:rPr>
        <w:t>2. 本保函所称主合同约定的工程款是指主合同约定的除工程质量保证金以外的合同价款。</w:t>
      </w:r>
    </w:p>
    <w:p>
      <w:pPr>
        <w:spacing w:line="240" w:lineRule="auto"/>
        <w:ind w:firstLine="386" w:firstLineChars="200"/>
        <w:jc w:val="left"/>
        <w:rPr>
          <w:rFonts w:ascii="宋体" w:hAnsi="宋体" w:cs="宋体"/>
          <w:szCs w:val="21"/>
        </w:rPr>
      </w:pPr>
      <w:r>
        <w:rPr>
          <w:rFonts w:hint="eastAsia" w:ascii="宋体" w:hAnsi="宋体" w:cs="宋体"/>
          <w:szCs w:val="21"/>
        </w:rPr>
        <w:t>3. 我方保证的金额是主合同约定的工程款的%，数额最高不超过人民币元（大写：）。</w:t>
      </w:r>
    </w:p>
    <w:p>
      <w:pPr>
        <w:spacing w:line="240" w:lineRule="auto"/>
        <w:ind w:firstLine="386" w:firstLineChars="200"/>
        <w:rPr>
          <w:rFonts w:ascii="宋体" w:hAnsi="宋体" w:cs="宋体"/>
          <w:szCs w:val="21"/>
        </w:rPr>
      </w:pPr>
      <w:r>
        <w:rPr>
          <w:rFonts w:hint="eastAsia" w:ascii="宋体" w:hAnsi="宋体" w:cs="宋体"/>
          <w:szCs w:val="21"/>
        </w:rPr>
        <w:t>二、保证的方式及保证期间</w:t>
      </w:r>
    </w:p>
    <w:p>
      <w:pPr>
        <w:spacing w:line="240" w:lineRule="auto"/>
        <w:ind w:firstLine="386" w:firstLineChars="200"/>
        <w:jc w:val="left"/>
        <w:rPr>
          <w:rFonts w:ascii="宋体" w:hAnsi="宋体" w:cs="宋体"/>
          <w:szCs w:val="21"/>
        </w:rPr>
      </w:pPr>
      <w:r>
        <w:rPr>
          <w:rFonts w:hint="eastAsia" w:ascii="宋体" w:hAnsi="宋体" w:cs="宋体"/>
          <w:szCs w:val="21"/>
        </w:rPr>
        <w:t>1. 我方保证的方式为：连带责任保证。</w:t>
      </w:r>
    </w:p>
    <w:p>
      <w:pPr>
        <w:spacing w:line="240" w:lineRule="auto"/>
        <w:ind w:firstLine="386" w:firstLineChars="200"/>
        <w:jc w:val="left"/>
        <w:rPr>
          <w:rFonts w:ascii="宋体" w:hAnsi="宋体" w:cs="宋体"/>
          <w:szCs w:val="21"/>
        </w:rPr>
      </w:pPr>
      <w:r>
        <w:rPr>
          <w:rFonts w:hint="eastAsia" w:ascii="宋体" w:hAnsi="宋体" w:cs="宋体"/>
          <w:szCs w:val="21"/>
        </w:rPr>
        <w:t>2. 我方保证的期间为：自本合同生效之日起至主合同约定的工程款支付完毕之日后日内。</w:t>
      </w:r>
    </w:p>
    <w:p>
      <w:pPr>
        <w:spacing w:line="240" w:lineRule="auto"/>
        <w:ind w:firstLine="386" w:firstLineChars="200"/>
        <w:jc w:val="left"/>
        <w:rPr>
          <w:rFonts w:ascii="宋体" w:hAnsi="宋体" w:cs="宋体"/>
          <w:szCs w:val="21"/>
        </w:rPr>
      </w:pPr>
      <w:r>
        <w:rPr>
          <w:rFonts w:hint="eastAsia" w:ascii="宋体" w:hAnsi="宋体" w:cs="宋体"/>
          <w:szCs w:val="21"/>
        </w:rPr>
        <w:t>3. 你方与发包人协议变更工程款支付日期的，经我方书面同意后，保证期间按照变更后的支付日期做相应调整。</w:t>
      </w:r>
    </w:p>
    <w:p>
      <w:pPr>
        <w:spacing w:line="240" w:lineRule="auto"/>
        <w:ind w:firstLine="386" w:firstLineChars="200"/>
        <w:rPr>
          <w:rFonts w:ascii="宋体" w:hAnsi="宋体" w:cs="宋体"/>
          <w:szCs w:val="21"/>
        </w:rPr>
      </w:pPr>
      <w:r>
        <w:rPr>
          <w:rFonts w:hint="eastAsia" w:ascii="宋体" w:hAnsi="宋体" w:cs="宋体"/>
          <w:szCs w:val="21"/>
        </w:rPr>
        <w:t>三、承担保证责任的形式</w:t>
      </w:r>
    </w:p>
    <w:p>
      <w:pPr>
        <w:spacing w:line="240" w:lineRule="auto"/>
        <w:ind w:firstLine="386" w:firstLineChars="200"/>
        <w:jc w:val="left"/>
        <w:rPr>
          <w:rFonts w:ascii="宋体" w:hAnsi="宋体" w:cs="宋体"/>
          <w:szCs w:val="21"/>
        </w:rPr>
      </w:pPr>
      <w:r>
        <w:rPr>
          <w:rFonts w:hint="eastAsia" w:ascii="宋体" w:hAnsi="宋体" w:cs="宋体"/>
          <w:szCs w:val="21"/>
        </w:rPr>
        <w:t>我方承担保证责任的形式是代为支付。发包人未按主合同约定向你方支付工程款的，由我方在保证金额内代为支付。</w:t>
      </w:r>
    </w:p>
    <w:p>
      <w:pPr>
        <w:spacing w:line="240" w:lineRule="auto"/>
        <w:ind w:firstLine="386" w:firstLineChars="200"/>
        <w:rPr>
          <w:rFonts w:ascii="宋体" w:hAnsi="宋体" w:cs="宋体"/>
          <w:szCs w:val="21"/>
        </w:rPr>
      </w:pPr>
      <w:r>
        <w:rPr>
          <w:rFonts w:hint="eastAsia" w:ascii="宋体" w:hAnsi="宋体" w:cs="宋体"/>
          <w:szCs w:val="21"/>
        </w:rPr>
        <w:t>四、代偿的安排</w:t>
      </w:r>
    </w:p>
    <w:p>
      <w:pPr>
        <w:spacing w:line="240" w:lineRule="auto"/>
        <w:ind w:firstLine="386" w:firstLineChars="200"/>
        <w:jc w:val="left"/>
        <w:rPr>
          <w:rFonts w:ascii="宋体" w:hAnsi="宋体" w:cs="宋体"/>
          <w:szCs w:val="21"/>
        </w:rPr>
      </w:pPr>
      <w:r>
        <w:rPr>
          <w:rFonts w:hint="eastAsia" w:ascii="宋体" w:hAnsi="宋体" w:cs="宋体"/>
          <w:szCs w:val="21"/>
        </w:rPr>
        <w:t>1. 你方要求我方承担保证责任的，应向我方发出书面索赔通知及发包人未支付主合同约定工程款的证明材料。索赔通知应写明要求索赔的金额，支付款项应到达的账号。</w:t>
      </w:r>
    </w:p>
    <w:p>
      <w:pPr>
        <w:spacing w:line="240" w:lineRule="auto"/>
        <w:ind w:firstLine="386" w:firstLineChars="200"/>
        <w:jc w:val="left"/>
        <w:rPr>
          <w:rFonts w:ascii="宋体" w:hAnsi="宋体" w:cs="宋体"/>
          <w:szCs w:val="21"/>
        </w:rPr>
      </w:pPr>
      <w:r>
        <w:rPr>
          <w:rFonts w:hint="eastAsia" w:ascii="宋体" w:hAnsi="宋体" w:cs="宋体"/>
          <w:szCs w:val="21"/>
        </w:rPr>
        <w:t>2. 在出现你方与发包人因工程质量发生争议，发包人拒绝向你方支付工程款的情形时，你方要求我方履行保证责任代为支付的，需提供符合相应条件要求的工程质量检测机构出具的质量说明材料。</w:t>
      </w:r>
    </w:p>
    <w:p>
      <w:pPr>
        <w:spacing w:line="240" w:lineRule="auto"/>
        <w:ind w:firstLine="386" w:firstLineChars="200"/>
        <w:jc w:val="left"/>
        <w:rPr>
          <w:rFonts w:ascii="宋体" w:hAnsi="宋体" w:cs="宋体"/>
          <w:szCs w:val="21"/>
        </w:rPr>
      </w:pPr>
      <w:r>
        <w:rPr>
          <w:rFonts w:hint="eastAsia" w:ascii="宋体" w:hAnsi="宋体" w:cs="宋体"/>
          <w:szCs w:val="21"/>
        </w:rPr>
        <w:t>3. 我方收到你方的书面索赔通知及相应的证明材料后７天内无条件支付。</w:t>
      </w:r>
    </w:p>
    <w:p>
      <w:pPr>
        <w:spacing w:line="240" w:lineRule="auto"/>
        <w:ind w:firstLine="386" w:firstLineChars="200"/>
        <w:rPr>
          <w:rFonts w:ascii="宋体" w:hAnsi="宋体" w:cs="宋体"/>
          <w:szCs w:val="21"/>
        </w:rPr>
      </w:pPr>
      <w:r>
        <w:rPr>
          <w:rFonts w:hint="eastAsia" w:ascii="宋体" w:hAnsi="宋体" w:cs="宋体"/>
          <w:szCs w:val="21"/>
        </w:rPr>
        <w:t>五、保证责任的解除</w:t>
      </w:r>
    </w:p>
    <w:p>
      <w:pPr>
        <w:spacing w:line="240" w:lineRule="auto"/>
        <w:ind w:firstLine="386" w:firstLineChars="200"/>
        <w:jc w:val="left"/>
        <w:rPr>
          <w:rFonts w:ascii="宋体" w:hAnsi="宋体" w:cs="宋体"/>
          <w:szCs w:val="21"/>
        </w:rPr>
      </w:pPr>
      <w:r>
        <w:rPr>
          <w:rFonts w:hint="eastAsia" w:ascii="宋体" w:hAnsi="宋体" w:cs="宋体"/>
          <w:szCs w:val="21"/>
        </w:rPr>
        <w:t>1. 在本保函承诺的保证期间内，你方未书面向我方主张保证责任的，自保证期间届满次日起，我方保证责任解除。</w:t>
      </w:r>
    </w:p>
    <w:p>
      <w:pPr>
        <w:spacing w:line="240" w:lineRule="auto"/>
        <w:ind w:firstLine="386" w:firstLineChars="200"/>
        <w:jc w:val="left"/>
        <w:rPr>
          <w:rFonts w:ascii="宋体" w:hAnsi="宋体" w:cs="宋体"/>
          <w:szCs w:val="21"/>
        </w:rPr>
      </w:pPr>
      <w:r>
        <w:rPr>
          <w:rFonts w:hint="eastAsia" w:ascii="宋体" w:hAnsi="宋体" w:cs="宋体"/>
          <w:szCs w:val="21"/>
        </w:rPr>
        <w:t>2. 发包人按主合同约定履行了工程款的全部支付义务的，自本保函承诺的保证期间届满次日起，我方保证责任解除。</w:t>
      </w:r>
    </w:p>
    <w:p>
      <w:pPr>
        <w:spacing w:line="240" w:lineRule="auto"/>
        <w:ind w:firstLine="386" w:firstLineChars="200"/>
        <w:jc w:val="left"/>
        <w:rPr>
          <w:rFonts w:ascii="宋体" w:hAnsi="宋体" w:cs="宋体"/>
          <w:szCs w:val="21"/>
        </w:rPr>
      </w:pPr>
      <w:r>
        <w:rPr>
          <w:rFonts w:hint="eastAsia" w:ascii="宋体" w:hAnsi="宋体" w:cs="宋体"/>
          <w:szCs w:val="21"/>
        </w:rPr>
        <w:t>3. 我方按照本保函向你方履行保证责任所支付金额达到本保函保证金额时，自我方向你方支付（支付款项从我方账户划出）之日起，保证责任即解除。</w:t>
      </w:r>
    </w:p>
    <w:p>
      <w:pPr>
        <w:spacing w:line="240" w:lineRule="auto"/>
        <w:ind w:firstLine="386" w:firstLineChars="200"/>
        <w:jc w:val="left"/>
        <w:rPr>
          <w:rFonts w:ascii="宋体" w:hAnsi="宋体" w:cs="宋体"/>
          <w:szCs w:val="21"/>
        </w:rPr>
      </w:pPr>
      <w:r>
        <w:rPr>
          <w:rFonts w:hint="eastAsia" w:ascii="宋体" w:hAnsi="宋体" w:cs="宋体"/>
          <w:szCs w:val="21"/>
        </w:rPr>
        <w:t>4. 按照法律法规的规定或出现应解除我方保证责任的其他情形的，我方在本保函项下的保证责任亦解除。</w:t>
      </w:r>
    </w:p>
    <w:p>
      <w:pPr>
        <w:spacing w:line="240" w:lineRule="auto"/>
        <w:ind w:firstLine="386" w:firstLineChars="200"/>
        <w:jc w:val="left"/>
        <w:rPr>
          <w:rFonts w:ascii="宋体" w:hAnsi="宋体" w:cs="宋体"/>
          <w:szCs w:val="21"/>
        </w:rPr>
      </w:pPr>
      <w:r>
        <w:rPr>
          <w:rFonts w:hint="eastAsia" w:ascii="宋体" w:hAnsi="宋体" w:cs="宋体"/>
          <w:szCs w:val="21"/>
        </w:rPr>
        <w:t>5. 我方解除保证责任后，你方应自我方保证责任解除之日起个工作日内，将本保函原件返还我方。</w:t>
      </w:r>
    </w:p>
    <w:p>
      <w:pPr>
        <w:spacing w:line="240" w:lineRule="auto"/>
        <w:ind w:firstLine="386" w:firstLineChars="200"/>
        <w:rPr>
          <w:rFonts w:ascii="宋体" w:hAnsi="宋体" w:cs="宋体"/>
          <w:szCs w:val="21"/>
        </w:rPr>
      </w:pPr>
      <w:r>
        <w:rPr>
          <w:rFonts w:hint="eastAsia" w:ascii="宋体" w:hAnsi="宋体" w:cs="宋体"/>
          <w:szCs w:val="21"/>
        </w:rPr>
        <w:t>六、免责条款</w:t>
      </w:r>
    </w:p>
    <w:p>
      <w:pPr>
        <w:spacing w:line="240" w:lineRule="auto"/>
        <w:ind w:firstLine="386" w:firstLineChars="200"/>
        <w:jc w:val="left"/>
        <w:rPr>
          <w:rFonts w:ascii="宋体" w:hAnsi="宋体" w:cs="宋体"/>
          <w:szCs w:val="21"/>
        </w:rPr>
      </w:pPr>
      <w:r>
        <w:rPr>
          <w:rFonts w:hint="eastAsia" w:ascii="宋体" w:hAnsi="宋体" w:cs="宋体"/>
          <w:szCs w:val="21"/>
        </w:rPr>
        <w:t>1. 因你方违约致使发包人不能履行义务的，我方不承担保证责任。</w:t>
      </w:r>
    </w:p>
    <w:p>
      <w:pPr>
        <w:spacing w:line="240" w:lineRule="auto"/>
        <w:ind w:firstLine="386" w:firstLineChars="200"/>
        <w:jc w:val="left"/>
        <w:rPr>
          <w:rFonts w:ascii="宋体" w:hAnsi="宋体" w:cs="宋体"/>
          <w:szCs w:val="21"/>
        </w:rPr>
      </w:pPr>
      <w:r>
        <w:rPr>
          <w:rFonts w:hint="eastAsia" w:ascii="宋体" w:hAnsi="宋体" w:cs="宋体"/>
          <w:szCs w:val="21"/>
        </w:rPr>
        <w:t>2. 依照法律法规的规定或你方与发包人的另行约定，免除发包人部分或全部义务的，我方亦免除其相应的保证责任。</w:t>
      </w:r>
    </w:p>
    <w:p>
      <w:pPr>
        <w:spacing w:line="240" w:lineRule="auto"/>
        <w:ind w:firstLine="386" w:firstLineChars="200"/>
        <w:jc w:val="left"/>
        <w:rPr>
          <w:rFonts w:ascii="宋体" w:hAnsi="宋体" w:cs="宋体"/>
          <w:szCs w:val="21"/>
        </w:rPr>
      </w:pPr>
      <w:r>
        <w:rPr>
          <w:rFonts w:hint="eastAsia" w:ascii="宋体" w:hAnsi="宋体" w:cs="宋体"/>
          <w:szCs w:val="21"/>
        </w:rPr>
        <w:t>3. 你方与发包人协议变更主合同的，如加重发包人责任致使我方保证责任加重的，需征得我方书面同意，否则我方不再承担因此而加重部分的保证责任，但主合同第10条〔变更〕约定的变更不受本款限制。</w:t>
      </w:r>
    </w:p>
    <w:p>
      <w:pPr>
        <w:spacing w:line="240" w:lineRule="auto"/>
        <w:ind w:firstLine="386" w:firstLineChars="200"/>
        <w:jc w:val="left"/>
        <w:rPr>
          <w:rFonts w:ascii="宋体" w:hAnsi="宋体" w:cs="宋体"/>
          <w:szCs w:val="21"/>
        </w:rPr>
      </w:pPr>
      <w:r>
        <w:rPr>
          <w:rFonts w:hint="eastAsia" w:ascii="宋体" w:hAnsi="宋体" w:cs="宋体"/>
          <w:szCs w:val="21"/>
        </w:rPr>
        <w:t>4. 因不可抗力造成发包人不能履行义务的，我方不承担保证责任。</w:t>
      </w:r>
    </w:p>
    <w:p>
      <w:pPr>
        <w:spacing w:line="240" w:lineRule="auto"/>
        <w:ind w:firstLine="386" w:firstLineChars="200"/>
        <w:rPr>
          <w:rFonts w:ascii="宋体" w:hAnsi="宋体" w:cs="宋体"/>
          <w:szCs w:val="21"/>
        </w:rPr>
      </w:pPr>
      <w:r>
        <w:rPr>
          <w:rFonts w:hint="eastAsia" w:ascii="宋体" w:hAnsi="宋体" w:cs="宋体"/>
          <w:szCs w:val="21"/>
        </w:rPr>
        <w:t>七、争议解决</w:t>
      </w:r>
    </w:p>
    <w:p>
      <w:pPr>
        <w:spacing w:line="240" w:lineRule="auto"/>
        <w:ind w:firstLine="386" w:firstLineChars="200"/>
        <w:rPr>
          <w:rFonts w:ascii="宋体" w:hAnsi="宋体" w:cs="宋体"/>
          <w:szCs w:val="21"/>
        </w:rPr>
      </w:pPr>
      <w:r>
        <w:rPr>
          <w:rFonts w:hint="eastAsia" w:ascii="宋体" w:hAnsi="宋体" w:cs="宋体"/>
          <w:szCs w:val="21"/>
        </w:rPr>
        <w:t>因本保函或本保函相关事项发生的纠纷，可由双方协商解决，协商不成的，按下列第种方式解决：</w:t>
      </w:r>
    </w:p>
    <w:p>
      <w:pPr>
        <w:spacing w:line="240" w:lineRule="auto"/>
        <w:ind w:firstLine="386" w:firstLineChars="200"/>
        <w:jc w:val="left"/>
        <w:rPr>
          <w:rFonts w:ascii="宋体" w:hAnsi="宋体" w:cs="宋体"/>
          <w:szCs w:val="21"/>
        </w:rPr>
      </w:pPr>
      <w:r>
        <w:rPr>
          <w:rFonts w:hint="eastAsia" w:ascii="宋体" w:hAnsi="宋体" w:cs="宋体"/>
          <w:szCs w:val="21"/>
        </w:rPr>
        <w:t>（1）向仲裁委员会申请仲裁；</w:t>
      </w:r>
    </w:p>
    <w:p>
      <w:pPr>
        <w:spacing w:line="240" w:lineRule="auto"/>
        <w:ind w:firstLine="386" w:firstLineChars="200"/>
        <w:jc w:val="left"/>
        <w:rPr>
          <w:rFonts w:ascii="宋体" w:hAnsi="宋体" w:cs="宋体"/>
          <w:szCs w:val="21"/>
        </w:rPr>
      </w:pPr>
      <w:r>
        <w:rPr>
          <w:rFonts w:hint="eastAsia" w:ascii="宋体" w:hAnsi="宋体" w:cs="宋体"/>
          <w:szCs w:val="21"/>
        </w:rPr>
        <w:t>（2）向人民法院起诉。</w:t>
      </w:r>
    </w:p>
    <w:p>
      <w:pPr>
        <w:spacing w:line="240" w:lineRule="auto"/>
        <w:ind w:firstLine="386" w:firstLineChars="200"/>
        <w:rPr>
          <w:rFonts w:ascii="宋体" w:hAnsi="宋体" w:cs="宋体"/>
          <w:szCs w:val="21"/>
        </w:rPr>
      </w:pPr>
      <w:r>
        <w:rPr>
          <w:rFonts w:hint="eastAsia" w:ascii="宋体" w:hAnsi="宋体" w:cs="宋体"/>
          <w:szCs w:val="21"/>
        </w:rPr>
        <w:t>八、保函的生效</w:t>
      </w:r>
    </w:p>
    <w:p>
      <w:pPr>
        <w:spacing w:line="240" w:lineRule="auto"/>
        <w:ind w:firstLine="386" w:firstLineChars="200"/>
        <w:jc w:val="left"/>
        <w:rPr>
          <w:rFonts w:ascii="宋体" w:hAnsi="宋体" w:cs="宋体"/>
          <w:szCs w:val="21"/>
        </w:rPr>
      </w:pPr>
      <w:r>
        <w:rPr>
          <w:rFonts w:hint="eastAsia" w:ascii="宋体" w:hAnsi="宋体" w:cs="宋体"/>
          <w:szCs w:val="21"/>
        </w:rPr>
        <w:t>本保函自我方法定代表人（或其授权代理人）签字并加盖公章之日起生效。</w:t>
      </w:r>
    </w:p>
    <w:p>
      <w:pPr>
        <w:spacing w:line="240" w:lineRule="auto"/>
        <w:ind w:right="600"/>
        <w:jc w:val="left"/>
        <w:rPr>
          <w:rFonts w:ascii="宋体" w:hAnsi="宋体" w:cs="宋体"/>
          <w:szCs w:val="21"/>
        </w:rPr>
      </w:pPr>
      <w:r>
        <w:rPr>
          <w:rFonts w:hint="eastAsia" w:ascii="宋体" w:hAnsi="宋体" w:cs="宋体"/>
          <w:szCs w:val="21"/>
        </w:rPr>
        <w:t>担保人：（盖章）</w:t>
      </w:r>
    </w:p>
    <w:p>
      <w:pPr>
        <w:spacing w:line="240" w:lineRule="auto"/>
        <w:ind w:right="1200"/>
        <w:rPr>
          <w:rFonts w:ascii="宋体" w:hAnsi="宋体" w:cs="宋体"/>
          <w:szCs w:val="21"/>
        </w:rPr>
      </w:pPr>
      <w:r>
        <w:rPr>
          <w:rFonts w:hint="eastAsia" w:ascii="宋体" w:hAnsi="宋体" w:cs="宋体"/>
          <w:szCs w:val="21"/>
        </w:rPr>
        <w:t>法定代表人或委托代理人：（签字）</w:t>
      </w:r>
    </w:p>
    <w:p>
      <w:pPr>
        <w:spacing w:line="240" w:lineRule="auto"/>
        <w:jc w:val="left"/>
        <w:rPr>
          <w:rFonts w:ascii="宋体" w:hAnsi="宋体" w:cs="宋体"/>
          <w:szCs w:val="21"/>
        </w:rPr>
      </w:pPr>
      <w:r>
        <w:rPr>
          <w:rFonts w:hint="eastAsia" w:ascii="宋体" w:hAnsi="宋体" w:cs="宋体"/>
          <w:szCs w:val="21"/>
        </w:rPr>
        <w:t>地址：</w:t>
      </w:r>
    </w:p>
    <w:p>
      <w:pPr>
        <w:spacing w:line="240" w:lineRule="auto"/>
        <w:jc w:val="left"/>
        <w:rPr>
          <w:rFonts w:ascii="宋体" w:hAnsi="宋体" w:cs="宋体"/>
          <w:szCs w:val="21"/>
        </w:rPr>
      </w:pPr>
      <w:r>
        <w:rPr>
          <w:rFonts w:hint="eastAsia" w:ascii="宋体" w:hAnsi="宋体" w:cs="宋体"/>
          <w:szCs w:val="21"/>
        </w:rPr>
        <w:t>邮政编码：</w:t>
      </w:r>
    </w:p>
    <w:p>
      <w:pPr>
        <w:spacing w:line="240" w:lineRule="auto"/>
        <w:jc w:val="left"/>
        <w:rPr>
          <w:rFonts w:ascii="宋体" w:hAnsi="宋体" w:cs="宋体"/>
          <w:szCs w:val="21"/>
        </w:rPr>
      </w:pPr>
      <w:r>
        <w:rPr>
          <w:rFonts w:hint="eastAsia" w:ascii="宋体" w:hAnsi="宋体" w:cs="宋体"/>
          <w:szCs w:val="21"/>
        </w:rPr>
        <w:t>传真：</w:t>
      </w:r>
    </w:p>
    <w:p>
      <w:pPr>
        <w:spacing w:line="240" w:lineRule="auto"/>
        <w:ind w:right="150"/>
        <w:jc w:val="left"/>
        <w:rPr>
          <w:rFonts w:ascii="宋体" w:hAnsi="宋体" w:cs="宋体"/>
          <w:szCs w:val="21"/>
        </w:rPr>
      </w:pPr>
      <w:r>
        <w:rPr>
          <w:rFonts w:hint="eastAsia" w:ascii="宋体" w:hAnsi="宋体" w:cs="宋体"/>
          <w:szCs w:val="21"/>
        </w:rPr>
        <w:t xml:space="preserve"> 年 月 日</w:t>
      </w:r>
      <w:bookmarkStart w:id="553" w:name="_Toc6291"/>
    </w:p>
    <w:p>
      <w:pPr>
        <w:tabs>
          <w:tab w:val="left" w:pos="432"/>
        </w:tabs>
        <w:rPr>
          <w:rFonts w:ascii="宋体" w:hAnsi="宋体" w:cs="宋体"/>
          <w:b/>
        </w:rPr>
      </w:pPr>
      <w:r>
        <w:rPr>
          <w:rFonts w:hint="eastAsia" w:ascii="宋体" w:hAnsi="宋体" w:cs="宋体"/>
          <w:b/>
        </w:rPr>
        <w:br w:type="page"/>
      </w:r>
    </w:p>
    <w:p>
      <w:pPr>
        <w:tabs>
          <w:tab w:val="left" w:pos="432"/>
        </w:tabs>
        <w:rPr>
          <w:rFonts w:ascii="宋体" w:hAnsi="宋体" w:cs="宋体"/>
          <w:b/>
        </w:rPr>
      </w:pPr>
      <w:r>
        <w:rPr>
          <w:rFonts w:hint="eastAsia" w:ascii="宋体" w:hAnsi="宋体" w:cs="宋体"/>
          <w:b/>
        </w:rPr>
        <w:t>附</w:t>
      </w:r>
      <w:bookmarkStart w:id="554" w:name="_Toc296891053"/>
      <w:bookmarkStart w:id="555" w:name="_Toc296346726"/>
      <w:bookmarkStart w:id="556" w:name="_Toc296503225"/>
      <w:bookmarkStart w:id="557" w:name="_Toc296944564"/>
      <w:bookmarkStart w:id="558" w:name="_Toc296347224"/>
      <w:bookmarkStart w:id="559" w:name="_Toc267261692"/>
      <w:bookmarkStart w:id="560" w:name="_Toc296891265"/>
      <w:r>
        <w:rPr>
          <w:rFonts w:hint="eastAsia" w:ascii="宋体" w:hAnsi="宋体" w:cs="宋体"/>
          <w:b/>
        </w:rPr>
        <w:t>件6：</w:t>
      </w:r>
      <w:bookmarkEnd w:id="553"/>
    </w:p>
    <w:bookmarkEnd w:id="554"/>
    <w:bookmarkEnd w:id="555"/>
    <w:bookmarkEnd w:id="556"/>
    <w:bookmarkEnd w:id="557"/>
    <w:bookmarkEnd w:id="558"/>
    <w:bookmarkEnd w:id="559"/>
    <w:bookmarkEnd w:id="560"/>
    <w:p>
      <w:pPr>
        <w:tabs>
          <w:tab w:val="left" w:pos="432"/>
        </w:tabs>
        <w:spacing w:line="240" w:lineRule="auto"/>
        <w:jc w:val="center"/>
        <w:rPr>
          <w:rFonts w:ascii="宋体" w:hAnsi="宋体" w:cs="宋体"/>
          <w:b/>
          <w:sz w:val="28"/>
          <w:szCs w:val="28"/>
        </w:rPr>
      </w:pPr>
      <w:bookmarkStart w:id="561" w:name="_Toc12242"/>
      <w:r>
        <w:rPr>
          <w:rFonts w:hint="eastAsia" w:ascii="宋体" w:hAnsi="宋体" w:cs="宋体"/>
          <w:b/>
          <w:sz w:val="28"/>
          <w:szCs w:val="28"/>
        </w:rPr>
        <w:t>发包人供应材料设备一览表</w:t>
      </w:r>
      <w:bookmarkEnd w:id="561"/>
    </w:p>
    <w:tbl>
      <w:tblPr>
        <w:tblStyle w:val="49"/>
        <w:tblW w:w="883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570"/>
        <w:gridCol w:w="1418"/>
        <w:gridCol w:w="674"/>
        <w:gridCol w:w="1027"/>
        <w:gridCol w:w="992"/>
        <w:gridCol w:w="1276"/>
        <w:gridCol w:w="744"/>
        <w:gridCol w:w="682"/>
        <w:gridCol w:w="699"/>
        <w:gridCol w:w="75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70" w:type="dxa"/>
            <w:tcBorders>
              <w:top w:val="single" w:color="auto" w:sz="12" w:space="0"/>
              <w:left w:val="single" w:color="auto" w:sz="12" w:space="0"/>
              <w:bottom w:val="double" w:color="auto" w:sz="6" w:space="0"/>
              <w:right w:val="single" w:color="auto" w:sz="6" w:space="0"/>
            </w:tcBorders>
            <w:vAlign w:val="center"/>
          </w:tcPr>
          <w:p>
            <w:pPr>
              <w:pStyle w:val="21"/>
              <w:keepNext/>
              <w:spacing w:line="240" w:lineRule="auto"/>
              <w:ind w:left="63" w:right="63"/>
              <w:rPr>
                <w:rFonts w:ascii="宋体" w:hAnsi="宋体" w:cs="宋体"/>
                <w:szCs w:val="21"/>
              </w:rPr>
            </w:pPr>
            <w:r>
              <w:rPr>
                <w:rFonts w:hint="eastAsia" w:ascii="宋体" w:hAnsi="宋体" w:cs="宋体"/>
                <w:szCs w:val="21"/>
              </w:rPr>
              <w:t>序号</w:t>
            </w:r>
          </w:p>
        </w:tc>
        <w:tc>
          <w:tcPr>
            <w:tcW w:w="1418"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ind w:left="63" w:right="63"/>
              <w:rPr>
                <w:rFonts w:ascii="宋体" w:hAnsi="宋体" w:cs="宋体"/>
                <w:szCs w:val="21"/>
              </w:rPr>
            </w:pPr>
            <w:r>
              <w:rPr>
                <w:rFonts w:hint="eastAsia" w:ascii="宋体" w:hAnsi="宋体" w:cs="宋体"/>
                <w:szCs w:val="21"/>
              </w:rPr>
              <w:t>材料、</w:t>
            </w:r>
          </w:p>
          <w:p>
            <w:pPr>
              <w:pStyle w:val="21"/>
              <w:keepNext/>
              <w:spacing w:line="240" w:lineRule="auto"/>
              <w:ind w:left="63" w:right="63"/>
              <w:rPr>
                <w:rFonts w:ascii="宋体" w:hAnsi="宋体" w:cs="宋体"/>
                <w:szCs w:val="21"/>
              </w:rPr>
            </w:pPr>
            <w:r>
              <w:rPr>
                <w:rFonts w:hint="eastAsia" w:ascii="宋体" w:hAnsi="宋体" w:cs="宋体"/>
                <w:szCs w:val="21"/>
              </w:rPr>
              <w:t>设备品种</w:t>
            </w:r>
          </w:p>
        </w:tc>
        <w:tc>
          <w:tcPr>
            <w:tcW w:w="674"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ind w:left="63" w:right="63"/>
              <w:rPr>
                <w:rFonts w:ascii="宋体" w:hAnsi="宋体" w:cs="宋体"/>
                <w:szCs w:val="21"/>
              </w:rPr>
            </w:pPr>
            <w:r>
              <w:rPr>
                <w:rFonts w:hint="eastAsia" w:ascii="宋体" w:hAnsi="宋体" w:cs="宋体"/>
                <w:szCs w:val="21"/>
              </w:rPr>
              <w:t>规格型号</w:t>
            </w:r>
          </w:p>
        </w:tc>
        <w:tc>
          <w:tcPr>
            <w:tcW w:w="1027"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ind w:left="63" w:right="63"/>
              <w:rPr>
                <w:rFonts w:ascii="宋体" w:hAnsi="宋体" w:cs="宋体"/>
                <w:szCs w:val="21"/>
              </w:rPr>
            </w:pPr>
            <w:r>
              <w:rPr>
                <w:rFonts w:hint="eastAsia" w:ascii="宋体" w:hAnsi="宋体" w:cs="宋体"/>
                <w:szCs w:val="21"/>
              </w:rPr>
              <w:t>单位</w:t>
            </w:r>
          </w:p>
        </w:tc>
        <w:tc>
          <w:tcPr>
            <w:tcW w:w="992"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ind w:left="63" w:right="63"/>
              <w:rPr>
                <w:rFonts w:ascii="宋体" w:hAnsi="宋体" w:cs="宋体"/>
                <w:szCs w:val="21"/>
              </w:rPr>
            </w:pPr>
            <w:r>
              <w:rPr>
                <w:rFonts w:hint="eastAsia" w:ascii="宋体" w:hAnsi="宋体" w:cs="宋体"/>
                <w:szCs w:val="21"/>
              </w:rPr>
              <w:t>数量</w:t>
            </w:r>
          </w:p>
        </w:tc>
        <w:tc>
          <w:tcPr>
            <w:tcW w:w="1276"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ind w:left="63" w:right="63"/>
              <w:rPr>
                <w:rFonts w:ascii="宋体" w:hAnsi="宋体" w:cs="宋体"/>
                <w:szCs w:val="21"/>
              </w:rPr>
            </w:pPr>
            <w:r>
              <w:rPr>
                <w:rFonts w:hint="eastAsia" w:ascii="宋体" w:hAnsi="宋体" w:cs="宋体"/>
                <w:szCs w:val="21"/>
              </w:rPr>
              <w:t>单价（元）</w:t>
            </w:r>
          </w:p>
        </w:tc>
        <w:tc>
          <w:tcPr>
            <w:tcW w:w="744"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ind w:left="63" w:right="63"/>
              <w:rPr>
                <w:rFonts w:ascii="宋体" w:hAnsi="宋体" w:cs="宋体"/>
                <w:szCs w:val="21"/>
              </w:rPr>
            </w:pPr>
            <w:r>
              <w:rPr>
                <w:rFonts w:hint="eastAsia" w:ascii="宋体" w:hAnsi="宋体" w:cs="宋体"/>
                <w:szCs w:val="21"/>
              </w:rPr>
              <w:t>质量等级</w:t>
            </w:r>
          </w:p>
        </w:tc>
        <w:tc>
          <w:tcPr>
            <w:tcW w:w="682"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ind w:left="63" w:right="63"/>
              <w:rPr>
                <w:rFonts w:ascii="宋体" w:hAnsi="宋体" w:cs="宋体"/>
                <w:szCs w:val="21"/>
              </w:rPr>
            </w:pPr>
            <w:r>
              <w:rPr>
                <w:rFonts w:hint="eastAsia" w:ascii="宋体" w:hAnsi="宋体" w:cs="宋体"/>
                <w:szCs w:val="21"/>
              </w:rPr>
              <w:t>供应时间</w:t>
            </w:r>
          </w:p>
        </w:tc>
        <w:tc>
          <w:tcPr>
            <w:tcW w:w="699"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ind w:left="63" w:right="63"/>
              <w:rPr>
                <w:rFonts w:ascii="宋体" w:hAnsi="宋体" w:cs="宋体"/>
                <w:szCs w:val="21"/>
              </w:rPr>
            </w:pPr>
            <w:r>
              <w:rPr>
                <w:rFonts w:hint="eastAsia" w:ascii="宋体" w:hAnsi="宋体" w:cs="宋体"/>
                <w:szCs w:val="21"/>
              </w:rPr>
              <w:t>送达地点</w:t>
            </w:r>
          </w:p>
        </w:tc>
        <w:tc>
          <w:tcPr>
            <w:tcW w:w="750" w:type="dxa"/>
            <w:tcBorders>
              <w:top w:val="single" w:color="auto" w:sz="12" w:space="0"/>
              <w:left w:val="single" w:color="auto" w:sz="6" w:space="0"/>
              <w:bottom w:val="double" w:color="auto" w:sz="6" w:space="0"/>
              <w:right w:val="single" w:color="auto" w:sz="12" w:space="0"/>
            </w:tcBorders>
            <w:vAlign w:val="center"/>
          </w:tcPr>
          <w:p>
            <w:pPr>
              <w:pStyle w:val="21"/>
              <w:keepNext/>
              <w:spacing w:line="240" w:lineRule="auto"/>
              <w:ind w:left="63" w:right="63"/>
              <w:rPr>
                <w:rFonts w:ascii="宋体" w:hAnsi="宋体" w:cs="宋体"/>
                <w:szCs w:val="21"/>
              </w:rPr>
            </w:pPr>
            <w:r>
              <w:rPr>
                <w:rFonts w:hint="eastAsia" w:ascii="宋体" w:hAnsi="宋体" w:cs="宋体"/>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70" w:type="dxa"/>
            <w:tcBorders>
              <w:top w:val="double" w:color="auto" w:sz="6" w:space="0"/>
              <w:left w:val="single" w:color="auto" w:sz="12"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418"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74"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027"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992"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276"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744"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82"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99"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750" w:type="dxa"/>
            <w:tcBorders>
              <w:top w:val="double" w:color="auto" w:sz="6" w:space="0"/>
              <w:left w:val="single" w:color="auto" w:sz="6" w:space="0"/>
              <w:bottom w:val="single" w:color="auto" w:sz="6" w:space="0"/>
              <w:right w:val="single" w:color="auto" w:sz="12" w:space="0"/>
            </w:tcBorders>
            <w:vAlign w:val="center"/>
          </w:tcPr>
          <w:p>
            <w:pPr>
              <w:pStyle w:val="21"/>
              <w:keepNext/>
              <w:spacing w:line="240" w:lineRule="auto"/>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70" w:type="dxa"/>
            <w:tcBorders>
              <w:top w:val="nil"/>
              <w:left w:val="single" w:color="auto" w:sz="12"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418" w:type="dxa"/>
            <w:tcBorders>
              <w:top w:val="nil"/>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74" w:type="dxa"/>
            <w:tcBorders>
              <w:top w:val="nil"/>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027" w:type="dxa"/>
            <w:tcBorders>
              <w:top w:val="nil"/>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992" w:type="dxa"/>
            <w:tcBorders>
              <w:top w:val="nil"/>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276" w:type="dxa"/>
            <w:tcBorders>
              <w:top w:val="nil"/>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744" w:type="dxa"/>
            <w:tcBorders>
              <w:top w:val="nil"/>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82" w:type="dxa"/>
            <w:tcBorders>
              <w:top w:val="nil"/>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99" w:type="dxa"/>
            <w:tcBorders>
              <w:top w:val="nil"/>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750" w:type="dxa"/>
            <w:tcBorders>
              <w:top w:val="nil"/>
              <w:left w:val="single" w:color="auto" w:sz="6" w:space="0"/>
              <w:bottom w:val="single" w:color="auto" w:sz="6" w:space="0"/>
              <w:right w:val="single" w:color="auto" w:sz="12" w:space="0"/>
            </w:tcBorders>
            <w:vAlign w:val="center"/>
          </w:tcPr>
          <w:p>
            <w:pPr>
              <w:pStyle w:val="21"/>
              <w:keepNext/>
              <w:spacing w:line="240" w:lineRule="auto"/>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70"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74"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027"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744"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99"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750"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70"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74"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027"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744"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99"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750"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70"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74"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027"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744"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99"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750"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70"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74"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027"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744"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99"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750"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70"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74"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027"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744"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99"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750"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70"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74"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027"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744"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99"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750"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70" w:type="dxa"/>
            <w:tcBorders>
              <w:top w:val="single" w:color="auto" w:sz="6" w:space="0"/>
              <w:left w:val="single" w:color="auto" w:sz="12"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674"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1027"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744"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699"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750" w:type="dxa"/>
            <w:tcBorders>
              <w:top w:val="single" w:color="auto" w:sz="6" w:space="0"/>
              <w:left w:val="single" w:color="auto" w:sz="6" w:space="0"/>
              <w:bottom w:val="single" w:color="auto" w:sz="6" w:space="0"/>
              <w:right w:val="single" w:color="auto" w:sz="12" w:space="0"/>
            </w:tcBorders>
            <w:vAlign w:val="center"/>
          </w:tcPr>
          <w:p>
            <w:pPr>
              <w:spacing w:line="240" w:lineRule="auto"/>
              <w:jc w:val="center"/>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70"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74"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027"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744"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699"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ind w:left="63" w:right="63"/>
              <w:rPr>
                <w:rFonts w:ascii="宋体" w:hAnsi="宋体" w:cs="宋体"/>
                <w:szCs w:val="21"/>
              </w:rPr>
            </w:pPr>
          </w:p>
        </w:tc>
        <w:tc>
          <w:tcPr>
            <w:tcW w:w="750"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70" w:type="dxa"/>
            <w:tcBorders>
              <w:top w:val="single" w:color="auto" w:sz="6" w:space="0"/>
              <w:left w:val="single" w:color="auto" w:sz="12"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674"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1027"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744"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699"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750" w:type="dxa"/>
            <w:tcBorders>
              <w:top w:val="single" w:color="auto" w:sz="6" w:space="0"/>
              <w:left w:val="single" w:color="auto" w:sz="6" w:space="0"/>
              <w:bottom w:val="single" w:color="auto" w:sz="6" w:space="0"/>
              <w:right w:val="single" w:color="auto" w:sz="12" w:space="0"/>
            </w:tcBorders>
            <w:vAlign w:val="center"/>
          </w:tcPr>
          <w:p>
            <w:pPr>
              <w:spacing w:line="240" w:lineRule="auto"/>
              <w:jc w:val="center"/>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70" w:type="dxa"/>
            <w:tcBorders>
              <w:top w:val="single" w:color="auto" w:sz="6" w:space="0"/>
              <w:left w:val="single" w:color="auto" w:sz="12"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674"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1027"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744"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699"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750" w:type="dxa"/>
            <w:tcBorders>
              <w:top w:val="single" w:color="auto" w:sz="6" w:space="0"/>
              <w:left w:val="single" w:color="auto" w:sz="6" w:space="0"/>
              <w:bottom w:val="single" w:color="auto" w:sz="6" w:space="0"/>
              <w:right w:val="single" w:color="auto" w:sz="12" w:space="0"/>
            </w:tcBorders>
            <w:vAlign w:val="center"/>
          </w:tcPr>
          <w:p>
            <w:pPr>
              <w:spacing w:line="240" w:lineRule="auto"/>
              <w:jc w:val="center"/>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70" w:type="dxa"/>
            <w:tcBorders>
              <w:top w:val="single" w:color="auto" w:sz="6" w:space="0"/>
              <w:left w:val="single" w:color="auto" w:sz="12"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674"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1027"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744"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699"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750" w:type="dxa"/>
            <w:tcBorders>
              <w:top w:val="single" w:color="auto" w:sz="6" w:space="0"/>
              <w:left w:val="single" w:color="auto" w:sz="6" w:space="0"/>
              <w:bottom w:val="single" w:color="auto" w:sz="6" w:space="0"/>
              <w:right w:val="single" w:color="auto" w:sz="12" w:space="0"/>
            </w:tcBorders>
            <w:vAlign w:val="center"/>
          </w:tcPr>
          <w:p>
            <w:pPr>
              <w:spacing w:line="240" w:lineRule="auto"/>
              <w:jc w:val="center"/>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70" w:type="dxa"/>
            <w:tcBorders>
              <w:top w:val="single" w:color="auto" w:sz="6" w:space="0"/>
              <w:left w:val="single" w:color="auto" w:sz="12"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674"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1027"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744"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699" w:type="dxa"/>
            <w:tcBorders>
              <w:top w:val="single" w:color="auto" w:sz="6" w:space="0"/>
              <w:left w:val="single" w:color="auto" w:sz="6" w:space="0"/>
              <w:bottom w:val="single" w:color="auto" w:sz="6" w:space="0"/>
              <w:right w:val="single" w:color="auto" w:sz="6" w:space="0"/>
            </w:tcBorders>
            <w:vAlign w:val="center"/>
          </w:tcPr>
          <w:p>
            <w:pPr>
              <w:spacing w:line="240" w:lineRule="auto"/>
              <w:jc w:val="center"/>
              <w:rPr>
                <w:rFonts w:ascii="宋体" w:hAnsi="宋体" w:cs="宋体"/>
                <w:szCs w:val="21"/>
              </w:rPr>
            </w:pPr>
          </w:p>
        </w:tc>
        <w:tc>
          <w:tcPr>
            <w:tcW w:w="750" w:type="dxa"/>
            <w:tcBorders>
              <w:top w:val="single" w:color="auto" w:sz="6" w:space="0"/>
              <w:left w:val="single" w:color="auto" w:sz="6" w:space="0"/>
              <w:bottom w:val="single" w:color="auto" w:sz="6" w:space="0"/>
              <w:right w:val="single" w:color="auto" w:sz="12" w:space="0"/>
            </w:tcBorders>
            <w:vAlign w:val="center"/>
          </w:tcPr>
          <w:p>
            <w:pPr>
              <w:spacing w:line="240" w:lineRule="auto"/>
              <w:jc w:val="center"/>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70" w:type="dxa"/>
            <w:tcBorders>
              <w:top w:val="single" w:color="auto" w:sz="6" w:space="0"/>
              <w:left w:val="single" w:color="auto" w:sz="12" w:space="0"/>
              <w:bottom w:val="single" w:color="auto" w:sz="12" w:space="0"/>
              <w:right w:val="single" w:color="auto" w:sz="6" w:space="0"/>
            </w:tcBorders>
            <w:vAlign w:val="center"/>
          </w:tcPr>
          <w:p>
            <w:pPr>
              <w:spacing w:line="240" w:lineRule="auto"/>
              <w:jc w:val="center"/>
              <w:rPr>
                <w:rFonts w:ascii="宋体" w:hAnsi="宋体" w:cs="宋体"/>
                <w:szCs w:val="21"/>
              </w:rPr>
            </w:pPr>
          </w:p>
        </w:tc>
        <w:tc>
          <w:tcPr>
            <w:tcW w:w="1418" w:type="dxa"/>
            <w:tcBorders>
              <w:top w:val="single" w:color="auto" w:sz="6" w:space="0"/>
              <w:left w:val="single" w:color="auto" w:sz="6" w:space="0"/>
              <w:bottom w:val="single" w:color="auto" w:sz="12" w:space="0"/>
              <w:right w:val="single" w:color="auto" w:sz="6" w:space="0"/>
            </w:tcBorders>
            <w:vAlign w:val="center"/>
          </w:tcPr>
          <w:p>
            <w:pPr>
              <w:spacing w:line="240" w:lineRule="auto"/>
              <w:jc w:val="center"/>
              <w:rPr>
                <w:rFonts w:ascii="宋体" w:hAnsi="宋体" w:cs="宋体"/>
                <w:szCs w:val="21"/>
              </w:rPr>
            </w:pPr>
          </w:p>
        </w:tc>
        <w:tc>
          <w:tcPr>
            <w:tcW w:w="674" w:type="dxa"/>
            <w:tcBorders>
              <w:top w:val="single" w:color="auto" w:sz="6" w:space="0"/>
              <w:left w:val="single" w:color="auto" w:sz="6" w:space="0"/>
              <w:bottom w:val="single" w:color="auto" w:sz="12" w:space="0"/>
              <w:right w:val="single" w:color="auto" w:sz="6" w:space="0"/>
            </w:tcBorders>
            <w:vAlign w:val="center"/>
          </w:tcPr>
          <w:p>
            <w:pPr>
              <w:spacing w:line="240" w:lineRule="auto"/>
              <w:jc w:val="center"/>
              <w:rPr>
                <w:rFonts w:ascii="宋体" w:hAnsi="宋体" w:cs="宋体"/>
                <w:szCs w:val="21"/>
              </w:rPr>
            </w:pPr>
          </w:p>
        </w:tc>
        <w:tc>
          <w:tcPr>
            <w:tcW w:w="1027" w:type="dxa"/>
            <w:tcBorders>
              <w:top w:val="single" w:color="auto" w:sz="6" w:space="0"/>
              <w:left w:val="single" w:color="auto" w:sz="6" w:space="0"/>
              <w:bottom w:val="single" w:color="auto" w:sz="12" w:space="0"/>
              <w:right w:val="single" w:color="auto" w:sz="6" w:space="0"/>
            </w:tcBorders>
            <w:vAlign w:val="center"/>
          </w:tcPr>
          <w:p>
            <w:pPr>
              <w:spacing w:line="240" w:lineRule="auto"/>
              <w:jc w:val="center"/>
              <w:rPr>
                <w:rFonts w:ascii="宋体" w:hAnsi="宋体" w:cs="宋体"/>
                <w:szCs w:val="21"/>
              </w:rPr>
            </w:pPr>
          </w:p>
        </w:tc>
        <w:tc>
          <w:tcPr>
            <w:tcW w:w="992" w:type="dxa"/>
            <w:tcBorders>
              <w:top w:val="single" w:color="auto" w:sz="6" w:space="0"/>
              <w:left w:val="single" w:color="auto" w:sz="6" w:space="0"/>
              <w:bottom w:val="single" w:color="auto" w:sz="12" w:space="0"/>
              <w:right w:val="single" w:color="auto" w:sz="6" w:space="0"/>
            </w:tcBorders>
            <w:vAlign w:val="center"/>
          </w:tcPr>
          <w:p>
            <w:pPr>
              <w:spacing w:line="240" w:lineRule="auto"/>
              <w:jc w:val="center"/>
              <w:rPr>
                <w:rFonts w:ascii="宋体" w:hAnsi="宋体" w:cs="宋体"/>
                <w:szCs w:val="21"/>
              </w:rPr>
            </w:pPr>
          </w:p>
        </w:tc>
        <w:tc>
          <w:tcPr>
            <w:tcW w:w="1276" w:type="dxa"/>
            <w:tcBorders>
              <w:top w:val="single" w:color="auto" w:sz="6" w:space="0"/>
              <w:left w:val="single" w:color="auto" w:sz="6" w:space="0"/>
              <w:bottom w:val="single" w:color="auto" w:sz="12" w:space="0"/>
              <w:right w:val="single" w:color="auto" w:sz="6" w:space="0"/>
            </w:tcBorders>
            <w:vAlign w:val="center"/>
          </w:tcPr>
          <w:p>
            <w:pPr>
              <w:spacing w:line="240" w:lineRule="auto"/>
              <w:jc w:val="center"/>
              <w:rPr>
                <w:rFonts w:ascii="宋体" w:hAnsi="宋体" w:cs="宋体"/>
                <w:szCs w:val="21"/>
              </w:rPr>
            </w:pPr>
          </w:p>
        </w:tc>
        <w:tc>
          <w:tcPr>
            <w:tcW w:w="744" w:type="dxa"/>
            <w:tcBorders>
              <w:top w:val="single" w:color="auto" w:sz="6" w:space="0"/>
              <w:left w:val="single" w:color="auto" w:sz="6" w:space="0"/>
              <w:bottom w:val="single" w:color="auto" w:sz="12" w:space="0"/>
              <w:right w:val="single" w:color="auto" w:sz="6" w:space="0"/>
            </w:tcBorders>
            <w:vAlign w:val="center"/>
          </w:tcPr>
          <w:p>
            <w:pPr>
              <w:spacing w:line="240" w:lineRule="auto"/>
              <w:jc w:val="center"/>
              <w:rPr>
                <w:rFonts w:ascii="宋体" w:hAnsi="宋体" w:cs="宋体"/>
                <w:szCs w:val="21"/>
              </w:rPr>
            </w:pPr>
          </w:p>
        </w:tc>
        <w:tc>
          <w:tcPr>
            <w:tcW w:w="682" w:type="dxa"/>
            <w:tcBorders>
              <w:top w:val="single" w:color="auto" w:sz="6" w:space="0"/>
              <w:left w:val="single" w:color="auto" w:sz="6" w:space="0"/>
              <w:bottom w:val="single" w:color="auto" w:sz="12" w:space="0"/>
              <w:right w:val="single" w:color="auto" w:sz="6" w:space="0"/>
            </w:tcBorders>
            <w:vAlign w:val="center"/>
          </w:tcPr>
          <w:p>
            <w:pPr>
              <w:spacing w:line="240" w:lineRule="auto"/>
              <w:jc w:val="center"/>
              <w:rPr>
                <w:rFonts w:ascii="宋体" w:hAnsi="宋体" w:cs="宋体"/>
                <w:szCs w:val="21"/>
              </w:rPr>
            </w:pPr>
          </w:p>
        </w:tc>
        <w:tc>
          <w:tcPr>
            <w:tcW w:w="699" w:type="dxa"/>
            <w:tcBorders>
              <w:top w:val="single" w:color="auto" w:sz="6" w:space="0"/>
              <w:left w:val="single" w:color="auto" w:sz="6" w:space="0"/>
              <w:bottom w:val="single" w:color="auto" w:sz="12" w:space="0"/>
              <w:right w:val="single" w:color="auto" w:sz="6" w:space="0"/>
            </w:tcBorders>
            <w:vAlign w:val="center"/>
          </w:tcPr>
          <w:p>
            <w:pPr>
              <w:spacing w:line="240" w:lineRule="auto"/>
              <w:jc w:val="center"/>
              <w:rPr>
                <w:rFonts w:ascii="宋体" w:hAnsi="宋体" w:cs="宋体"/>
                <w:szCs w:val="21"/>
              </w:rPr>
            </w:pPr>
          </w:p>
        </w:tc>
        <w:tc>
          <w:tcPr>
            <w:tcW w:w="750" w:type="dxa"/>
            <w:tcBorders>
              <w:top w:val="single" w:color="auto" w:sz="6" w:space="0"/>
              <w:left w:val="single" w:color="auto" w:sz="6" w:space="0"/>
              <w:bottom w:val="single" w:color="auto" w:sz="12" w:space="0"/>
              <w:right w:val="single" w:color="auto" w:sz="12" w:space="0"/>
            </w:tcBorders>
            <w:vAlign w:val="center"/>
          </w:tcPr>
          <w:p>
            <w:pPr>
              <w:spacing w:line="240" w:lineRule="auto"/>
              <w:jc w:val="center"/>
              <w:rPr>
                <w:rFonts w:ascii="宋体" w:hAnsi="宋体" w:cs="宋体"/>
                <w:szCs w:val="21"/>
              </w:rPr>
            </w:pPr>
          </w:p>
        </w:tc>
      </w:tr>
    </w:tbl>
    <w:p>
      <w:pPr>
        <w:tabs>
          <w:tab w:val="left" w:pos="432"/>
        </w:tabs>
        <w:rPr>
          <w:rFonts w:ascii="宋体" w:hAnsi="宋体" w:cs="宋体"/>
        </w:rPr>
      </w:pPr>
      <w:bookmarkStart w:id="562" w:name="_Toc25109"/>
    </w:p>
    <w:p>
      <w:pPr>
        <w:tabs>
          <w:tab w:val="left" w:pos="432"/>
        </w:tabs>
        <w:rPr>
          <w:rFonts w:ascii="宋体" w:hAnsi="宋体" w:cs="宋体"/>
        </w:rPr>
      </w:pPr>
    </w:p>
    <w:p>
      <w:pPr>
        <w:tabs>
          <w:tab w:val="left" w:pos="432"/>
        </w:tabs>
        <w:rPr>
          <w:rFonts w:ascii="宋体" w:hAnsi="宋体" w:cs="宋体"/>
          <w:b/>
        </w:rPr>
      </w:pPr>
      <w:r>
        <w:rPr>
          <w:rFonts w:hint="eastAsia" w:ascii="宋体" w:hAnsi="宋体" w:cs="宋体"/>
          <w:b/>
        </w:rPr>
        <w:br w:type="page"/>
      </w:r>
    </w:p>
    <w:p>
      <w:pPr>
        <w:tabs>
          <w:tab w:val="left" w:pos="432"/>
        </w:tabs>
        <w:rPr>
          <w:rFonts w:ascii="宋体" w:hAnsi="宋体" w:cs="宋体"/>
          <w:b/>
        </w:rPr>
      </w:pPr>
      <w:r>
        <w:rPr>
          <w:rFonts w:hint="eastAsia" w:ascii="宋体" w:hAnsi="宋体" w:cs="宋体"/>
          <w:b/>
        </w:rPr>
        <w:t>附件7：</w:t>
      </w:r>
      <w:bookmarkEnd w:id="562"/>
    </w:p>
    <w:p>
      <w:pPr>
        <w:tabs>
          <w:tab w:val="left" w:pos="432"/>
        </w:tabs>
        <w:spacing w:line="240" w:lineRule="auto"/>
        <w:jc w:val="center"/>
        <w:rPr>
          <w:rFonts w:ascii="宋体" w:hAnsi="宋体" w:cs="宋体"/>
          <w:b/>
          <w:sz w:val="28"/>
          <w:szCs w:val="28"/>
        </w:rPr>
      </w:pPr>
      <w:bookmarkStart w:id="563" w:name="_Toc20732"/>
      <w:r>
        <w:rPr>
          <w:rFonts w:hint="eastAsia" w:ascii="宋体" w:hAnsi="宋体" w:cs="宋体"/>
          <w:b/>
          <w:sz w:val="28"/>
          <w:szCs w:val="28"/>
        </w:rPr>
        <w:t>主要建设工程文件目录</w:t>
      </w:r>
      <w:bookmarkEnd w:id="563"/>
    </w:p>
    <w:tbl>
      <w:tblPr>
        <w:tblStyle w:val="4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953"/>
        <w:gridCol w:w="1276"/>
        <w:gridCol w:w="1450"/>
        <w:gridCol w:w="1243"/>
        <w:gridCol w:w="1450"/>
        <w:gridCol w:w="16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53" w:type="dxa"/>
            <w:tcBorders>
              <w:top w:val="single" w:color="auto" w:sz="12" w:space="0"/>
              <w:left w:val="single" w:color="auto" w:sz="12"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文件名称</w:t>
            </w:r>
          </w:p>
        </w:tc>
        <w:tc>
          <w:tcPr>
            <w:tcW w:w="1276"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套数</w:t>
            </w:r>
          </w:p>
        </w:tc>
        <w:tc>
          <w:tcPr>
            <w:tcW w:w="1450"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费用（元）</w:t>
            </w:r>
          </w:p>
        </w:tc>
        <w:tc>
          <w:tcPr>
            <w:tcW w:w="1243"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质量</w:t>
            </w:r>
          </w:p>
        </w:tc>
        <w:tc>
          <w:tcPr>
            <w:tcW w:w="1450" w:type="dxa"/>
            <w:tcBorders>
              <w:top w:val="single" w:color="auto" w:sz="12" w:space="0"/>
              <w:left w:val="single" w:color="auto" w:sz="6" w:space="0"/>
              <w:bottom w:val="double" w:color="auto" w:sz="6" w:space="0"/>
              <w:right w:val="single" w:color="auto" w:sz="6" w:space="0"/>
            </w:tcBorders>
          </w:tcPr>
          <w:p>
            <w:pPr>
              <w:spacing w:line="240" w:lineRule="auto"/>
              <w:jc w:val="center"/>
              <w:rPr>
                <w:rFonts w:ascii="宋体" w:hAnsi="宋体" w:cs="宋体"/>
                <w:szCs w:val="21"/>
              </w:rPr>
            </w:pPr>
            <w:r>
              <w:rPr>
                <w:rFonts w:hint="eastAsia" w:ascii="宋体" w:hAnsi="宋体" w:cs="宋体"/>
                <w:szCs w:val="21"/>
              </w:rPr>
              <w:t>移交时间</w:t>
            </w:r>
          </w:p>
        </w:tc>
        <w:tc>
          <w:tcPr>
            <w:tcW w:w="1667" w:type="dxa"/>
            <w:tcBorders>
              <w:top w:val="single" w:color="auto" w:sz="12" w:space="0"/>
              <w:left w:val="single" w:color="auto" w:sz="6" w:space="0"/>
              <w:bottom w:val="double" w:color="auto" w:sz="6" w:space="0"/>
              <w:right w:val="single" w:color="auto" w:sz="12" w:space="0"/>
            </w:tcBorders>
          </w:tcPr>
          <w:p>
            <w:pPr>
              <w:spacing w:line="240" w:lineRule="auto"/>
              <w:jc w:val="center"/>
              <w:rPr>
                <w:rFonts w:ascii="宋体" w:hAnsi="宋体" w:cs="宋体"/>
                <w:szCs w:val="21"/>
              </w:rPr>
            </w:pPr>
            <w:r>
              <w:rPr>
                <w:rFonts w:hint="eastAsia" w:ascii="宋体" w:hAnsi="宋体" w:cs="宋体"/>
                <w:szCs w:val="21"/>
              </w:rPr>
              <w:t>责任人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12" w:hRule="atLeast"/>
          <w:jc w:val="center"/>
        </w:trPr>
        <w:tc>
          <w:tcPr>
            <w:tcW w:w="1953" w:type="dxa"/>
            <w:tcBorders>
              <w:top w:val="doub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76"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0"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43"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0"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667" w:type="dxa"/>
            <w:tcBorders>
              <w:top w:val="doub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nil"/>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76"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0"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43"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0"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667" w:type="dxa"/>
            <w:tcBorders>
              <w:top w:val="nil"/>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4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667"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4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667"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4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667"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4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667"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4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667"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4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667"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tcPr>
          <w:p>
            <w:pPr>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243"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667" w:type="dxa"/>
            <w:tcBorders>
              <w:top w:val="single" w:color="auto" w:sz="6" w:space="0"/>
              <w:left w:val="single" w:color="auto" w:sz="6" w:space="0"/>
              <w:bottom w:val="single" w:color="auto" w:sz="6" w:space="0"/>
              <w:right w:val="single" w:color="auto" w:sz="12" w:space="0"/>
            </w:tcBorders>
          </w:tcPr>
          <w:p>
            <w:pPr>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4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667"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tcPr>
          <w:p>
            <w:pPr>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243"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667" w:type="dxa"/>
            <w:tcBorders>
              <w:top w:val="single" w:color="auto" w:sz="6" w:space="0"/>
              <w:left w:val="single" w:color="auto" w:sz="6" w:space="0"/>
              <w:bottom w:val="single" w:color="auto" w:sz="6" w:space="0"/>
              <w:right w:val="single" w:color="auto" w:sz="12" w:space="0"/>
            </w:tcBorders>
          </w:tcPr>
          <w:p>
            <w:pPr>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tcPr>
          <w:p>
            <w:pPr>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243"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667" w:type="dxa"/>
            <w:tcBorders>
              <w:top w:val="single" w:color="auto" w:sz="6" w:space="0"/>
              <w:left w:val="single" w:color="auto" w:sz="6" w:space="0"/>
              <w:bottom w:val="single" w:color="auto" w:sz="6" w:space="0"/>
              <w:right w:val="single" w:color="auto" w:sz="12" w:space="0"/>
            </w:tcBorders>
          </w:tcPr>
          <w:p>
            <w:pPr>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tcPr>
          <w:p>
            <w:pPr>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243"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667" w:type="dxa"/>
            <w:tcBorders>
              <w:top w:val="single" w:color="auto" w:sz="6" w:space="0"/>
              <w:left w:val="single" w:color="auto" w:sz="6" w:space="0"/>
              <w:bottom w:val="single" w:color="auto" w:sz="6" w:space="0"/>
              <w:right w:val="single" w:color="auto" w:sz="12" w:space="0"/>
            </w:tcBorders>
          </w:tcPr>
          <w:p>
            <w:pPr>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tcPr>
          <w:p>
            <w:pPr>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243"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667" w:type="dxa"/>
            <w:tcBorders>
              <w:top w:val="single" w:color="auto" w:sz="6" w:space="0"/>
              <w:left w:val="single" w:color="auto" w:sz="6" w:space="0"/>
              <w:bottom w:val="single" w:color="auto" w:sz="6" w:space="0"/>
              <w:right w:val="single" w:color="auto" w:sz="12" w:space="0"/>
            </w:tcBorders>
          </w:tcPr>
          <w:p>
            <w:pPr>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6" w:space="0"/>
              <w:right w:val="single" w:color="auto" w:sz="6" w:space="0"/>
            </w:tcBorders>
          </w:tcPr>
          <w:p>
            <w:pPr>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243"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45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667" w:type="dxa"/>
            <w:tcBorders>
              <w:top w:val="single" w:color="auto" w:sz="6" w:space="0"/>
              <w:left w:val="single" w:color="auto" w:sz="6" w:space="0"/>
              <w:bottom w:val="single" w:color="auto" w:sz="6" w:space="0"/>
              <w:right w:val="single" w:color="auto" w:sz="12" w:space="0"/>
            </w:tcBorders>
          </w:tcPr>
          <w:p>
            <w:pPr>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single" w:color="auto" w:sz="6" w:space="0"/>
              <w:left w:val="single" w:color="auto" w:sz="12" w:space="0"/>
              <w:bottom w:val="single" w:color="auto" w:sz="12" w:space="0"/>
              <w:right w:val="single" w:color="auto" w:sz="6" w:space="0"/>
            </w:tcBorders>
          </w:tcPr>
          <w:p>
            <w:pPr>
              <w:spacing w:line="240" w:lineRule="auto"/>
              <w:rPr>
                <w:rFonts w:ascii="宋体" w:hAnsi="宋体" w:cs="宋体"/>
                <w:szCs w:val="21"/>
              </w:rPr>
            </w:pPr>
          </w:p>
        </w:tc>
        <w:tc>
          <w:tcPr>
            <w:tcW w:w="1276" w:type="dxa"/>
            <w:tcBorders>
              <w:top w:val="single" w:color="auto" w:sz="6" w:space="0"/>
              <w:left w:val="single" w:color="auto" w:sz="6" w:space="0"/>
              <w:bottom w:val="single" w:color="auto" w:sz="12" w:space="0"/>
              <w:right w:val="single" w:color="auto" w:sz="6" w:space="0"/>
            </w:tcBorders>
          </w:tcPr>
          <w:p>
            <w:pPr>
              <w:spacing w:line="240" w:lineRule="auto"/>
              <w:rPr>
                <w:rFonts w:ascii="宋体" w:hAnsi="宋体" w:cs="宋体"/>
                <w:szCs w:val="21"/>
              </w:rPr>
            </w:pPr>
          </w:p>
        </w:tc>
        <w:tc>
          <w:tcPr>
            <w:tcW w:w="1450" w:type="dxa"/>
            <w:tcBorders>
              <w:top w:val="single" w:color="auto" w:sz="6" w:space="0"/>
              <w:left w:val="single" w:color="auto" w:sz="6" w:space="0"/>
              <w:bottom w:val="single" w:color="auto" w:sz="12" w:space="0"/>
              <w:right w:val="single" w:color="auto" w:sz="6" w:space="0"/>
            </w:tcBorders>
          </w:tcPr>
          <w:p>
            <w:pPr>
              <w:spacing w:line="240" w:lineRule="auto"/>
              <w:rPr>
                <w:rFonts w:ascii="宋体" w:hAnsi="宋体" w:cs="宋体"/>
                <w:szCs w:val="21"/>
              </w:rPr>
            </w:pPr>
          </w:p>
        </w:tc>
        <w:tc>
          <w:tcPr>
            <w:tcW w:w="1243" w:type="dxa"/>
            <w:tcBorders>
              <w:top w:val="single" w:color="auto" w:sz="6" w:space="0"/>
              <w:left w:val="single" w:color="auto" w:sz="6" w:space="0"/>
              <w:bottom w:val="single" w:color="auto" w:sz="12" w:space="0"/>
              <w:right w:val="single" w:color="auto" w:sz="6" w:space="0"/>
            </w:tcBorders>
          </w:tcPr>
          <w:p>
            <w:pPr>
              <w:spacing w:line="240" w:lineRule="auto"/>
              <w:rPr>
                <w:rFonts w:ascii="宋体" w:hAnsi="宋体" w:cs="宋体"/>
                <w:szCs w:val="21"/>
              </w:rPr>
            </w:pPr>
          </w:p>
        </w:tc>
        <w:tc>
          <w:tcPr>
            <w:tcW w:w="1450" w:type="dxa"/>
            <w:tcBorders>
              <w:top w:val="single" w:color="auto" w:sz="6" w:space="0"/>
              <w:left w:val="single" w:color="auto" w:sz="6" w:space="0"/>
              <w:bottom w:val="single" w:color="auto" w:sz="12" w:space="0"/>
              <w:right w:val="single" w:color="auto" w:sz="6" w:space="0"/>
            </w:tcBorders>
          </w:tcPr>
          <w:p>
            <w:pPr>
              <w:spacing w:line="240" w:lineRule="auto"/>
              <w:rPr>
                <w:rFonts w:ascii="宋体" w:hAnsi="宋体" w:cs="宋体"/>
                <w:szCs w:val="21"/>
              </w:rPr>
            </w:pPr>
          </w:p>
        </w:tc>
        <w:tc>
          <w:tcPr>
            <w:tcW w:w="1667" w:type="dxa"/>
            <w:tcBorders>
              <w:top w:val="single" w:color="auto" w:sz="6" w:space="0"/>
              <w:left w:val="single" w:color="auto" w:sz="6" w:space="0"/>
              <w:bottom w:val="single" w:color="auto" w:sz="12" w:space="0"/>
              <w:right w:val="single" w:color="auto" w:sz="12" w:space="0"/>
            </w:tcBorders>
          </w:tcPr>
          <w:p>
            <w:pPr>
              <w:spacing w:line="240" w:lineRule="auto"/>
              <w:rPr>
                <w:rFonts w:ascii="宋体" w:hAnsi="宋体" w:cs="宋体"/>
                <w:szCs w:val="21"/>
              </w:rPr>
            </w:pPr>
          </w:p>
        </w:tc>
      </w:tr>
    </w:tbl>
    <w:p>
      <w:pPr>
        <w:tabs>
          <w:tab w:val="left" w:pos="432"/>
        </w:tabs>
        <w:rPr>
          <w:rFonts w:ascii="宋体" w:hAnsi="宋体" w:cs="宋体"/>
          <w:b/>
        </w:rPr>
      </w:pPr>
      <w:r>
        <w:rPr>
          <w:rFonts w:hint="eastAsia" w:ascii="宋体" w:hAnsi="宋体" w:cs="宋体"/>
          <w:szCs w:val="30"/>
        </w:rPr>
        <w:br w:type="page"/>
      </w:r>
      <w:bookmarkStart w:id="564" w:name="_Toc27172"/>
      <w:r>
        <w:rPr>
          <w:rFonts w:hint="eastAsia" w:ascii="宋体" w:hAnsi="宋体" w:cs="宋体"/>
          <w:b/>
        </w:rPr>
        <w:t>附</w:t>
      </w:r>
      <w:bookmarkStart w:id="565" w:name="_Toc296944566"/>
      <w:bookmarkStart w:id="566" w:name="_Toc296347226"/>
      <w:bookmarkStart w:id="567" w:name="_Toc296891267"/>
      <w:bookmarkStart w:id="568" w:name="_Toc296891055"/>
      <w:bookmarkStart w:id="569" w:name="_Toc267261698"/>
      <w:bookmarkStart w:id="570" w:name="_Toc296503227"/>
      <w:bookmarkStart w:id="571" w:name="_Toc296346728"/>
      <w:r>
        <w:rPr>
          <w:rFonts w:hint="eastAsia" w:ascii="宋体" w:hAnsi="宋体" w:cs="宋体"/>
          <w:b/>
        </w:rPr>
        <w:t>件8：</w:t>
      </w:r>
      <w:bookmarkEnd w:id="564"/>
    </w:p>
    <w:bookmarkEnd w:id="565"/>
    <w:bookmarkEnd w:id="566"/>
    <w:bookmarkEnd w:id="567"/>
    <w:bookmarkEnd w:id="568"/>
    <w:bookmarkEnd w:id="569"/>
    <w:bookmarkEnd w:id="570"/>
    <w:bookmarkEnd w:id="571"/>
    <w:p>
      <w:pPr>
        <w:tabs>
          <w:tab w:val="left" w:pos="432"/>
        </w:tabs>
        <w:spacing w:line="240" w:lineRule="auto"/>
        <w:jc w:val="center"/>
        <w:rPr>
          <w:rFonts w:ascii="宋体" w:hAnsi="宋体" w:cs="宋体"/>
          <w:b/>
          <w:sz w:val="28"/>
          <w:szCs w:val="28"/>
        </w:rPr>
      </w:pPr>
      <w:bookmarkStart w:id="572" w:name="_Toc18500"/>
      <w:r>
        <w:rPr>
          <w:rFonts w:hint="eastAsia" w:ascii="宋体" w:hAnsi="宋体" w:cs="宋体"/>
          <w:b/>
          <w:sz w:val="28"/>
          <w:szCs w:val="28"/>
        </w:rPr>
        <w:t>承包人用于本工程施工的机械设备表</w:t>
      </w:r>
      <w:bookmarkEnd w:id="572"/>
    </w:p>
    <w:tbl>
      <w:tblPr>
        <w:tblStyle w:val="4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636"/>
        <w:gridCol w:w="1266"/>
        <w:gridCol w:w="1320"/>
        <w:gridCol w:w="780"/>
        <w:gridCol w:w="720"/>
        <w:gridCol w:w="870"/>
        <w:gridCol w:w="1200"/>
        <w:gridCol w:w="1215"/>
        <w:gridCol w:w="99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636" w:type="dxa"/>
            <w:tcBorders>
              <w:top w:val="single" w:color="auto" w:sz="12" w:space="0"/>
              <w:left w:val="single" w:color="auto" w:sz="12"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序号</w:t>
            </w:r>
          </w:p>
        </w:tc>
        <w:tc>
          <w:tcPr>
            <w:tcW w:w="1266"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机械或</w:t>
            </w:r>
          </w:p>
          <w:p>
            <w:pPr>
              <w:pStyle w:val="21"/>
              <w:keepNext/>
              <w:spacing w:line="240" w:lineRule="auto"/>
              <w:rPr>
                <w:rFonts w:ascii="宋体" w:hAnsi="宋体" w:cs="宋体"/>
                <w:szCs w:val="21"/>
              </w:rPr>
            </w:pPr>
            <w:r>
              <w:rPr>
                <w:rFonts w:hint="eastAsia" w:ascii="宋体" w:hAnsi="宋体" w:cs="宋体"/>
                <w:szCs w:val="21"/>
              </w:rPr>
              <w:t>设备名称</w:t>
            </w:r>
          </w:p>
        </w:tc>
        <w:tc>
          <w:tcPr>
            <w:tcW w:w="1320"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规格型号</w:t>
            </w:r>
          </w:p>
        </w:tc>
        <w:tc>
          <w:tcPr>
            <w:tcW w:w="780"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数量</w:t>
            </w:r>
          </w:p>
        </w:tc>
        <w:tc>
          <w:tcPr>
            <w:tcW w:w="720"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产地</w:t>
            </w:r>
          </w:p>
        </w:tc>
        <w:tc>
          <w:tcPr>
            <w:tcW w:w="870"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制造年份</w:t>
            </w:r>
          </w:p>
        </w:tc>
        <w:tc>
          <w:tcPr>
            <w:tcW w:w="1200"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额定功率(kW)</w:t>
            </w:r>
          </w:p>
        </w:tc>
        <w:tc>
          <w:tcPr>
            <w:tcW w:w="1215"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生产能力</w:t>
            </w:r>
          </w:p>
        </w:tc>
        <w:tc>
          <w:tcPr>
            <w:tcW w:w="992" w:type="dxa"/>
            <w:tcBorders>
              <w:top w:val="single" w:color="auto" w:sz="12" w:space="0"/>
              <w:left w:val="single" w:color="auto" w:sz="6" w:space="0"/>
              <w:bottom w:val="double" w:color="auto" w:sz="6" w:space="0"/>
              <w:right w:val="single" w:color="auto" w:sz="12" w:space="0"/>
            </w:tcBorders>
            <w:vAlign w:val="center"/>
          </w:tcPr>
          <w:p>
            <w:pPr>
              <w:pStyle w:val="21"/>
              <w:keepNext/>
              <w:spacing w:line="240" w:lineRule="auto"/>
              <w:rPr>
                <w:rFonts w:ascii="宋体" w:hAnsi="宋体" w:cs="宋体"/>
                <w:szCs w:val="21"/>
              </w:rPr>
            </w:pPr>
            <w:r>
              <w:rPr>
                <w:rFonts w:hint="eastAsia" w:ascii="宋体" w:hAnsi="宋体" w:cs="宋体"/>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636" w:type="dxa"/>
            <w:tcBorders>
              <w:top w:val="doub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1</w:t>
            </w:r>
          </w:p>
        </w:tc>
        <w:tc>
          <w:tcPr>
            <w:tcW w:w="1266" w:type="dxa"/>
            <w:tcBorders>
              <w:top w:val="double" w:color="auto" w:sz="6" w:space="0"/>
              <w:left w:val="single" w:color="auto" w:sz="6" w:space="0"/>
              <w:bottom w:val="single" w:color="auto" w:sz="6" w:space="0"/>
              <w:right w:val="single" w:color="auto" w:sz="6" w:space="0"/>
            </w:tcBorders>
            <w:vAlign w:val="center"/>
          </w:tcPr>
          <w:p>
            <w:pPr>
              <w:pStyle w:val="329"/>
              <w:autoSpaceDE/>
              <w:autoSpaceDN/>
              <w:adjustRightInd/>
              <w:spacing w:line="240" w:lineRule="auto"/>
              <w:rPr>
                <w:rFonts w:ascii="宋体" w:hAnsi="宋体" w:cs="宋体"/>
                <w:sz w:val="21"/>
                <w:szCs w:val="21"/>
              </w:rPr>
            </w:pPr>
          </w:p>
        </w:tc>
        <w:tc>
          <w:tcPr>
            <w:tcW w:w="1320" w:type="dxa"/>
            <w:tcBorders>
              <w:top w:val="double" w:color="auto" w:sz="6" w:space="0"/>
              <w:left w:val="single" w:color="auto" w:sz="6" w:space="0"/>
              <w:bottom w:val="single" w:color="auto" w:sz="6" w:space="0"/>
              <w:right w:val="single" w:color="auto" w:sz="6" w:space="0"/>
            </w:tcBorders>
            <w:vAlign w:val="center"/>
          </w:tcPr>
          <w:p>
            <w:pPr>
              <w:pStyle w:val="329"/>
              <w:autoSpaceDE/>
              <w:autoSpaceDN/>
              <w:adjustRightInd/>
              <w:spacing w:line="240" w:lineRule="auto"/>
              <w:rPr>
                <w:rFonts w:ascii="宋体" w:hAnsi="宋体" w:cs="宋体"/>
                <w:sz w:val="21"/>
                <w:szCs w:val="21"/>
              </w:rPr>
            </w:pPr>
          </w:p>
        </w:tc>
        <w:tc>
          <w:tcPr>
            <w:tcW w:w="780" w:type="dxa"/>
            <w:tcBorders>
              <w:top w:val="double" w:color="auto" w:sz="6" w:space="0"/>
              <w:left w:val="single" w:color="auto" w:sz="6" w:space="0"/>
              <w:bottom w:val="single" w:color="auto" w:sz="6" w:space="0"/>
              <w:right w:val="single" w:color="auto" w:sz="6" w:space="0"/>
            </w:tcBorders>
            <w:vAlign w:val="center"/>
          </w:tcPr>
          <w:p>
            <w:pPr>
              <w:pStyle w:val="329"/>
              <w:autoSpaceDE/>
              <w:autoSpaceDN/>
              <w:adjustRightInd/>
              <w:spacing w:line="240" w:lineRule="auto"/>
              <w:rPr>
                <w:rFonts w:ascii="宋体" w:hAnsi="宋体" w:cs="宋体"/>
                <w:sz w:val="21"/>
                <w:szCs w:val="21"/>
              </w:rPr>
            </w:pPr>
          </w:p>
        </w:tc>
        <w:tc>
          <w:tcPr>
            <w:tcW w:w="720"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70"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00"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15"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992" w:type="dxa"/>
            <w:tcBorders>
              <w:top w:val="doub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636" w:type="dxa"/>
            <w:tcBorders>
              <w:top w:val="nil"/>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2</w:t>
            </w:r>
          </w:p>
        </w:tc>
        <w:tc>
          <w:tcPr>
            <w:tcW w:w="1266" w:type="dxa"/>
            <w:tcBorders>
              <w:top w:val="nil"/>
              <w:left w:val="single" w:color="auto" w:sz="6" w:space="0"/>
              <w:bottom w:val="single" w:color="auto" w:sz="6" w:space="0"/>
              <w:right w:val="single" w:color="auto" w:sz="6" w:space="0"/>
            </w:tcBorders>
            <w:vAlign w:val="center"/>
          </w:tcPr>
          <w:p>
            <w:pPr>
              <w:pStyle w:val="329"/>
              <w:autoSpaceDE/>
              <w:autoSpaceDN/>
              <w:adjustRightInd/>
              <w:spacing w:line="240" w:lineRule="auto"/>
              <w:rPr>
                <w:rFonts w:ascii="宋体" w:hAnsi="宋体" w:cs="宋体"/>
                <w:sz w:val="21"/>
                <w:szCs w:val="21"/>
              </w:rPr>
            </w:pPr>
          </w:p>
        </w:tc>
        <w:tc>
          <w:tcPr>
            <w:tcW w:w="1320" w:type="dxa"/>
            <w:tcBorders>
              <w:top w:val="nil"/>
              <w:left w:val="single" w:color="auto" w:sz="6" w:space="0"/>
              <w:bottom w:val="single" w:color="auto" w:sz="6" w:space="0"/>
              <w:right w:val="single" w:color="auto" w:sz="6" w:space="0"/>
            </w:tcBorders>
            <w:vAlign w:val="center"/>
          </w:tcPr>
          <w:p>
            <w:pPr>
              <w:pStyle w:val="329"/>
              <w:autoSpaceDE/>
              <w:autoSpaceDN/>
              <w:adjustRightInd/>
              <w:spacing w:line="240" w:lineRule="auto"/>
              <w:rPr>
                <w:rFonts w:ascii="宋体" w:hAnsi="宋体" w:cs="宋体"/>
                <w:sz w:val="21"/>
                <w:szCs w:val="21"/>
              </w:rPr>
            </w:pPr>
          </w:p>
        </w:tc>
        <w:tc>
          <w:tcPr>
            <w:tcW w:w="780" w:type="dxa"/>
            <w:tcBorders>
              <w:top w:val="nil"/>
              <w:left w:val="single" w:color="auto" w:sz="6" w:space="0"/>
              <w:bottom w:val="single" w:color="auto" w:sz="6" w:space="0"/>
              <w:right w:val="single" w:color="auto" w:sz="6" w:space="0"/>
            </w:tcBorders>
            <w:vAlign w:val="center"/>
          </w:tcPr>
          <w:p>
            <w:pPr>
              <w:pStyle w:val="329"/>
              <w:autoSpaceDE/>
              <w:autoSpaceDN/>
              <w:adjustRightInd/>
              <w:spacing w:line="240" w:lineRule="auto"/>
              <w:rPr>
                <w:rFonts w:ascii="宋体" w:hAnsi="宋体" w:cs="宋体"/>
                <w:sz w:val="21"/>
                <w:szCs w:val="21"/>
              </w:rPr>
            </w:pPr>
          </w:p>
        </w:tc>
        <w:tc>
          <w:tcPr>
            <w:tcW w:w="720"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70"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00"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15"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992" w:type="dxa"/>
            <w:tcBorders>
              <w:top w:val="nil"/>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636"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3</w:t>
            </w:r>
          </w:p>
        </w:tc>
        <w:tc>
          <w:tcPr>
            <w:tcW w:w="1266" w:type="dxa"/>
            <w:tcBorders>
              <w:top w:val="single" w:color="auto" w:sz="6" w:space="0"/>
              <w:left w:val="single" w:color="auto" w:sz="6" w:space="0"/>
              <w:bottom w:val="single" w:color="auto" w:sz="6" w:space="0"/>
              <w:right w:val="single" w:color="auto" w:sz="6" w:space="0"/>
            </w:tcBorders>
            <w:vAlign w:val="center"/>
          </w:tcPr>
          <w:p>
            <w:pPr>
              <w:pStyle w:val="329"/>
              <w:autoSpaceDE/>
              <w:autoSpaceDN/>
              <w:adjustRightInd/>
              <w:spacing w:line="240" w:lineRule="auto"/>
              <w:rPr>
                <w:rFonts w:ascii="宋体" w:hAnsi="宋体" w:cs="宋体"/>
                <w:sz w:val="21"/>
                <w:szCs w:val="21"/>
              </w:rPr>
            </w:pPr>
          </w:p>
        </w:tc>
        <w:tc>
          <w:tcPr>
            <w:tcW w:w="1320" w:type="dxa"/>
            <w:tcBorders>
              <w:top w:val="single" w:color="auto" w:sz="6" w:space="0"/>
              <w:left w:val="single" w:color="auto" w:sz="6" w:space="0"/>
              <w:bottom w:val="single" w:color="auto" w:sz="6" w:space="0"/>
              <w:right w:val="single" w:color="auto" w:sz="6" w:space="0"/>
            </w:tcBorders>
            <w:vAlign w:val="center"/>
          </w:tcPr>
          <w:p>
            <w:pPr>
              <w:pStyle w:val="329"/>
              <w:autoSpaceDE/>
              <w:autoSpaceDN/>
              <w:adjustRightInd/>
              <w:spacing w:line="240" w:lineRule="auto"/>
              <w:rPr>
                <w:rFonts w:ascii="宋体" w:hAnsi="宋体" w:cs="宋体"/>
                <w:sz w:val="21"/>
                <w:szCs w:val="21"/>
              </w:rPr>
            </w:pPr>
          </w:p>
        </w:tc>
        <w:tc>
          <w:tcPr>
            <w:tcW w:w="780" w:type="dxa"/>
            <w:tcBorders>
              <w:top w:val="single" w:color="auto" w:sz="6" w:space="0"/>
              <w:left w:val="single" w:color="auto" w:sz="6" w:space="0"/>
              <w:bottom w:val="single" w:color="auto" w:sz="6" w:space="0"/>
              <w:right w:val="single" w:color="auto" w:sz="6" w:space="0"/>
            </w:tcBorders>
            <w:vAlign w:val="center"/>
          </w:tcPr>
          <w:p>
            <w:pPr>
              <w:pStyle w:val="329"/>
              <w:autoSpaceDE/>
              <w:autoSpaceDN/>
              <w:adjustRightInd/>
              <w:spacing w:line="240" w:lineRule="auto"/>
              <w:rPr>
                <w:rFonts w:ascii="宋体" w:hAnsi="宋体" w:cs="宋体"/>
                <w:sz w:val="21"/>
                <w:szCs w:val="21"/>
              </w:rPr>
            </w:pPr>
          </w:p>
        </w:tc>
        <w:tc>
          <w:tcPr>
            <w:tcW w:w="72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7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0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15"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992"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636"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4</w:t>
            </w:r>
          </w:p>
        </w:tc>
        <w:tc>
          <w:tcPr>
            <w:tcW w:w="1266" w:type="dxa"/>
            <w:tcBorders>
              <w:top w:val="single" w:color="auto" w:sz="6" w:space="0"/>
              <w:left w:val="single" w:color="auto" w:sz="6" w:space="0"/>
              <w:bottom w:val="single" w:color="auto" w:sz="6" w:space="0"/>
              <w:right w:val="single" w:color="auto" w:sz="6" w:space="0"/>
            </w:tcBorders>
            <w:vAlign w:val="center"/>
          </w:tcPr>
          <w:p>
            <w:pPr>
              <w:pStyle w:val="329"/>
              <w:autoSpaceDE/>
              <w:autoSpaceDN/>
              <w:adjustRightInd/>
              <w:spacing w:line="240" w:lineRule="auto"/>
              <w:rPr>
                <w:rFonts w:ascii="宋体" w:hAnsi="宋体" w:cs="宋体"/>
                <w:sz w:val="21"/>
                <w:szCs w:val="21"/>
              </w:rPr>
            </w:pPr>
          </w:p>
        </w:tc>
        <w:tc>
          <w:tcPr>
            <w:tcW w:w="1320" w:type="dxa"/>
            <w:tcBorders>
              <w:top w:val="single" w:color="auto" w:sz="6" w:space="0"/>
              <w:left w:val="single" w:color="auto" w:sz="6" w:space="0"/>
              <w:bottom w:val="single" w:color="auto" w:sz="6" w:space="0"/>
              <w:right w:val="single" w:color="auto" w:sz="6" w:space="0"/>
            </w:tcBorders>
            <w:vAlign w:val="center"/>
          </w:tcPr>
          <w:p>
            <w:pPr>
              <w:pStyle w:val="329"/>
              <w:autoSpaceDE/>
              <w:autoSpaceDN/>
              <w:adjustRightInd/>
              <w:spacing w:line="240" w:lineRule="auto"/>
              <w:rPr>
                <w:rFonts w:ascii="宋体" w:hAnsi="宋体" w:cs="宋体"/>
                <w:sz w:val="21"/>
                <w:szCs w:val="21"/>
              </w:rPr>
            </w:pPr>
          </w:p>
        </w:tc>
        <w:tc>
          <w:tcPr>
            <w:tcW w:w="780" w:type="dxa"/>
            <w:tcBorders>
              <w:top w:val="single" w:color="auto" w:sz="6" w:space="0"/>
              <w:left w:val="single" w:color="auto" w:sz="6" w:space="0"/>
              <w:bottom w:val="single" w:color="auto" w:sz="6" w:space="0"/>
              <w:right w:val="single" w:color="auto" w:sz="6" w:space="0"/>
            </w:tcBorders>
            <w:vAlign w:val="center"/>
          </w:tcPr>
          <w:p>
            <w:pPr>
              <w:pStyle w:val="329"/>
              <w:autoSpaceDE/>
              <w:autoSpaceDN/>
              <w:adjustRightInd/>
              <w:spacing w:line="240" w:lineRule="auto"/>
              <w:rPr>
                <w:rFonts w:ascii="宋体" w:hAnsi="宋体" w:cs="宋体"/>
                <w:sz w:val="21"/>
                <w:szCs w:val="21"/>
              </w:rPr>
            </w:pPr>
          </w:p>
        </w:tc>
        <w:tc>
          <w:tcPr>
            <w:tcW w:w="72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7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0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15"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992"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636"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5</w:t>
            </w:r>
          </w:p>
        </w:tc>
        <w:tc>
          <w:tcPr>
            <w:tcW w:w="1266" w:type="dxa"/>
            <w:tcBorders>
              <w:top w:val="single" w:color="auto" w:sz="6" w:space="0"/>
              <w:left w:val="single" w:color="auto" w:sz="6" w:space="0"/>
              <w:bottom w:val="single" w:color="auto" w:sz="6" w:space="0"/>
              <w:right w:val="single" w:color="auto" w:sz="6" w:space="0"/>
            </w:tcBorders>
            <w:vAlign w:val="center"/>
          </w:tcPr>
          <w:p>
            <w:pPr>
              <w:pStyle w:val="329"/>
              <w:autoSpaceDE/>
              <w:autoSpaceDN/>
              <w:adjustRightInd/>
              <w:spacing w:line="240" w:lineRule="auto"/>
              <w:rPr>
                <w:rFonts w:ascii="宋体" w:hAnsi="宋体" w:cs="宋体"/>
                <w:sz w:val="21"/>
                <w:szCs w:val="21"/>
              </w:rPr>
            </w:pPr>
          </w:p>
        </w:tc>
        <w:tc>
          <w:tcPr>
            <w:tcW w:w="1320" w:type="dxa"/>
            <w:tcBorders>
              <w:top w:val="single" w:color="auto" w:sz="6" w:space="0"/>
              <w:left w:val="single" w:color="auto" w:sz="6" w:space="0"/>
              <w:bottom w:val="single" w:color="auto" w:sz="6" w:space="0"/>
              <w:right w:val="single" w:color="auto" w:sz="6" w:space="0"/>
            </w:tcBorders>
            <w:vAlign w:val="center"/>
          </w:tcPr>
          <w:p>
            <w:pPr>
              <w:pStyle w:val="329"/>
              <w:autoSpaceDE/>
              <w:autoSpaceDN/>
              <w:adjustRightInd/>
              <w:spacing w:line="240" w:lineRule="auto"/>
              <w:rPr>
                <w:rFonts w:ascii="宋体" w:hAnsi="宋体" w:cs="宋体"/>
                <w:sz w:val="21"/>
                <w:szCs w:val="21"/>
              </w:rPr>
            </w:pPr>
          </w:p>
        </w:tc>
        <w:tc>
          <w:tcPr>
            <w:tcW w:w="780" w:type="dxa"/>
            <w:tcBorders>
              <w:top w:val="single" w:color="auto" w:sz="6" w:space="0"/>
              <w:left w:val="single" w:color="auto" w:sz="6" w:space="0"/>
              <w:bottom w:val="single" w:color="auto" w:sz="6" w:space="0"/>
              <w:right w:val="single" w:color="auto" w:sz="6" w:space="0"/>
            </w:tcBorders>
            <w:vAlign w:val="center"/>
          </w:tcPr>
          <w:p>
            <w:pPr>
              <w:pStyle w:val="329"/>
              <w:autoSpaceDE/>
              <w:autoSpaceDN/>
              <w:adjustRightInd/>
              <w:spacing w:line="240" w:lineRule="auto"/>
              <w:rPr>
                <w:rFonts w:ascii="宋体" w:hAnsi="宋体" w:cs="宋体"/>
                <w:sz w:val="21"/>
                <w:szCs w:val="21"/>
              </w:rPr>
            </w:pPr>
          </w:p>
        </w:tc>
        <w:tc>
          <w:tcPr>
            <w:tcW w:w="72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7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0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15"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992"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636"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6</w:t>
            </w:r>
          </w:p>
        </w:tc>
        <w:tc>
          <w:tcPr>
            <w:tcW w:w="126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32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78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72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7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0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15"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992"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636"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7</w:t>
            </w:r>
          </w:p>
        </w:tc>
        <w:tc>
          <w:tcPr>
            <w:tcW w:w="126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32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78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72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7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0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15"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992"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636" w:type="dxa"/>
            <w:tcBorders>
              <w:top w:val="single" w:color="auto" w:sz="6" w:space="0"/>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r>
              <w:rPr>
                <w:rFonts w:hint="eastAsia" w:ascii="宋体" w:hAnsi="宋体" w:cs="宋体"/>
                <w:szCs w:val="21"/>
              </w:rPr>
              <w:t>8</w:t>
            </w:r>
          </w:p>
        </w:tc>
        <w:tc>
          <w:tcPr>
            <w:tcW w:w="126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32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78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72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7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0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15"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992"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636"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9</w:t>
            </w:r>
          </w:p>
        </w:tc>
        <w:tc>
          <w:tcPr>
            <w:tcW w:w="126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32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78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72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87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20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215"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992" w:type="dxa"/>
            <w:tcBorders>
              <w:top w:val="single" w:color="auto" w:sz="6" w:space="0"/>
              <w:left w:val="single" w:color="auto" w:sz="6" w:space="0"/>
              <w:bottom w:val="single" w:color="auto" w:sz="6" w:space="0"/>
              <w:right w:val="single" w:color="auto" w:sz="12" w:space="0"/>
            </w:tcBorders>
          </w:tcPr>
          <w:p>
            <w:pPr>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636" w:type="dxa"/>
            <w:tcBorders>
              <w:top w:val="single" w:color="auto" w:sz="6" w:space="0"/>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r>
              <w:rPr>
                <w:rFonts w:hint="eastAsia" w:ascii="宋体" w:hAnsi="宋体" w:cs="宋体"/>
                <w:szCs w:val="21"/>
              </w:rPr>
              <w:t>10</w:t>
            </w:r>
          </w:p>
        </w:tc>
        <w:tc>
          <w:tcPr>
            <w:tcW w:w="126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32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78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72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7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0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215"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992"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636" w:type="dxa"/>
            <w:tcBorders>
              <w:top w:val="single" w:color="auto" w:sz="6" w:space="0"/>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r>
              <w:rPr>
                <w:rFonts w:hint="eastAsia" w:ascii="宋体" w:hAnsi="宋体" w:cs="宋体"/>
                <w:szCs w:val="21"/>
              </w:rPr>
              <w:t>11</w:t>
            </w:r>
          </w:p>
        </w:tc>
        <w:tc>
          <w:tcPr>
            <w:tcW w:w="126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32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78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72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87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20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215"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992" w:type="dxa"/>
            <w:tcBorders>
              <w:top w:val="single" w:color="auto" w:sz="6" w:space="0"/>
              <w:left w:val="single" w:color="auto" w:sz="6" w:space="0"/>
              <w:bottom w:val="single" w:color="auto" w:sz="6" w:space="0"/>
              <w:right w:val="single" w:color="auto" w:sz="12" w:space="0"/>
            </w:tcBorders>
          </w:tcPr>
          <w:p>
            <w:pPr>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636" w:type="dxa"/>
            <w:tcBorders>
              <w:top w:val="single" w:color="auto" w:sz="6" w:space="0"/>
              <w:left w:val="single" w:color="auto" w:sz="12" w:space="0"/>
              <w:bottom w:val="single" w:color="auto" w:sz="6" w:space="0"/>
              <w:right w:val="single" w:color="auto" w:sz="6" w:space="0"/>
            </w:tcBorders>
          </w:tcPr>
          <w:p>
            <w:pPr>
              <w:spacing w:line="240" w:lineRule="auto"/>
              <w:rPr>
                <w:rFonts w:ascii="宋体" w:hAnsi="宋体" w:cs="宋体"/>
                <w:szCs w:val="21"/>
              </w:rPr>
            </w:pPr>
          </w:p>
        </w:tc>
        <w:tc>
          <w:tcPr>
            <w:tcW w:w="1266"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32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78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72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87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20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215"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992" w:type="dxa"/>
            <w:tcBorders>
              <w:top w:val="single" w:color="auto" w:sz="6" w:space="0"/>
              <w:left w:val="single" w:color="auto" w:sz="6" w:space="0"/>
              <w:bottom w:val="single" w:color="auto" w:sz="6" w:space="0"/>
              <w:right w:val="single" w:color="auto" w:sz="12" w:space="0"/>
            </w:tcBorders>
          </w:tcPr>
          <w:p>
            <w:pPr>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636" w:type="dxa"/>
            <w:tcBorders>
              <w:top w:val="single" w:color="auto" w:sz="6" w:space="0"/>
              <w:left w:val="single" w:color="auto" w:sz="12" w:space="0"/>
              <w:bottom w:val="single" w:color="auto" w:sz="6" w:space="0"/>
              <w:right w:val="single" w:color="auto" w:sz="6" w:space="0"/>
            </w:tcBorders>
          </w:tcPr>
          <w:p>
            <w:pPr>
              <w:spacing w:line="240" w:lineRule="auto"/>
              <w:rPr>
                <w:rFonts w:ascii="宋体" w:hAnsi="宋体" w:cs="宋体"/>
                <w:szCs w:val="21"/>
              </w:rPr>
            </w:pPr>
          </w:p>
        </w:tc>
        <w:tc>
          <w:tcPr>
            <w:tcW w:w="1266"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32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78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72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87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200"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1215" w:type="dxa"/>
            <w:tcBorders>
              <w:top w:val="single" w:color="auto" w:sz="6" w:space="0"/>
              <w:left w:val="single" w:color="auto" w:sz="6" w:space="0"/>
              <w:bottom w:val="single" w:color="auto" w:sz="6" w:space="0"/>
              <w:right w:val="single" w:color="auto" w:sz="6" w:space="0"/>
            </w:tcBorders>
          </w:tcPr>
          <w:p>
            <w:pPr>
              <w:spacing w:line="240" w:lineRule="auto"/>
              <w:rPr>
                <w:rFonts w:ascii="宋体" w:hAnsi="宋体" w:cs="宋体"/>
                <w:szCs w:val="21"/>
              </w:rPr>
            </w:pPr>
          </w:p>
        </w:tc>
        <w:tc>
          <w:tcPr>
            <w:tcW w:w="992" w:type="dxa"/>
            <w:tcBorders>
              <w:top w:val="single" w:color="auto" w:sz="6" w:space="0"/>
              <w:left w:val="single" w:color="auto" w:sz="6" w:space="0"/>
              <w:bottom w:val="single" w:color="auto" w:sz="6" w:space="0"/>
              <w:right w:val="single" w:color="auto" w:sz="12" w:space="0"/>
            </w:tcBorders>
          </w:tcPr>
          <w:p>
            <w:pPr>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636" w:type="dxa"/>
            <w:tcBorders>
              <w:top w:val="single" w:color="auto" w:sz="6" w:space="0"/>
              <w:left w:val="single" w:color="auto" w:sz="12" w:space="0"/>
              <w:bottom w:val="single" w:color="auto" w:sz="12" w:space="0"/>
              <w:right w:val="single" w:color="auto" w:sz="6" w:space="0"/>
            </w:tcBorders>
          </w:tcPr>
          <w:p>
            <w:pPr>
              <w:spacing w:line="240" w:lineRule="auto"/>
              <w:rPr>
                <w:rFonts w:ascii="宋体" w:hAnsi="宋体" w:cs="宋体"/>
                <w:szCs w:val="21"/>
              </w:rPr>
            </w:pPr>
          </w:p>
        </w:tc>
        <w:tc>
          <w:tcPr>
            <w:tcW w:w="1266" w:type="dxa"/>
            <w:tcBorders>
              <w:top w:val="single" w:color="auto" w:sz="6" w:space="0"/>
              <w:left w:val="single" w:color="auto" w:sz="6" w:space="0"/>
              <w:bottom w:val="single" w:color="auto" w:sz="12" w:space="0"/>
              <w:right w:val="single" w:color="auto" w:sz="6" w:space="0"/>
            </w:tcBorders>
          </w:tcPr>
          <w:p>
            <w:pPr>
              <w:spacing w:line="240" w:lineRule="auto"/>
              <w:rPr>
                <w:rFonts w:ascii="宋体" w:hAnsi="宋体" w:cs="宋体"/>
                <w:szCs w:val="21"/>
              </w:rPr>
            </w:pPr>
          </w:p>
        </w:tc>
        <w:tc>
          <w:tcPr>
            <w:tcW w:w="1320" w:type="dxa"/>
            <w:tcBorders>
              <w:top w:val="single" w:color="auto" w:sz="6" w:space="0"/>
              <w:left w:val="single" w:color="auto" w:sz="6" w:space="0"/>
              <w:bottom w:val="single" w:color="auto" w:sz="12" w:space="0"/>
              <w:right w:val="single" w:color="auto" w:sz="6" w:space="0"/>
            </w:tcBorders>
          </w:tcPr>
          <w:p>
            <w:pPr>
              <w:spacing w:line="240" w:lineRule="auto"/>
              <w:rPr>
                <w:rFonts w:ascii="宋体" w:hAnsi="宋体" w:cs="宋体"/>
                <w:szCs w:val="21"/>
              </w:rPr>
            </w:pPr>
          </w:p>
        </w:tc>
        <w:tc>
          <w:tcPr>
            <w:tcW w:w="780" w:type="dxa"/>
            <w:tcBorders>
              <w:top w:val="single" w:color="auto" w:sz="6" w:space="0"/>
              <w:left w:val="single" w:color="auto" w:sz="6" w:space="0"/>
              <w:bottom w:val="single" w:color="auto" w:sz="12" w:space="0"/>
              <w:right w:val="single" w:color="auto" w:sz="6" w:space="0"/>
            </w:tcBorders>
          </w:tcPr>
          <w:p>
            <w:pPr>
              <w:spacing w:line="240" w:lineRule="auto"/>
              <w:rPr>
                <w:rFonts w:ascii="宋体" w:hAnsi="宋体" w:cs="宋体"/>
                <w:szCs w:val="21"/>
              </w:rPr>
            </w:pPr>
          </w:p>
        </w:tc>
        <w:tc>
          <w:tcPr>
            <w:tcW w:w="720" w:type="dxa"/>
            <w:tcBorders>
              <w:top w:val="single" w:color="auto" w:sz="6" w:space="0"/>
              <w:left w:val="single" w:color="auto" w:sz="6" w:space="0"/>
              <w:bottom w:val="single" w:color="auto" w:sz="12" w:space="0"/>
              <w:right w:val="single" w:color="auto" w:sz="6" w:space="0"/>
            </w:tcBorders>
          </w:tcPr>
          <w:p>
            <w:pPr>
              <w:spacing w:line="240" w:lineRule="auto"/>
              <w:rPr>
                <w:rFonts w:ascii="宋体" w:hAnsi="宋体" w:cs="宋体"/>
                <w:szCs w:val="21"/>
              </w:rPr>
            </w:pPr>
          </w:p>
        </w:tc>
        <w:tc>
          <w:tcPr>
            <w:tcW w:w="870" w:type="dxa"/>
            <w:tcBorders>
              <w:top w:val="single" w:color="auto" w:sz="6" w:space="0"/>
              <w:left w:val="single" w:color="auto" w:sz="6" w:space="0"/>
              <w:bottom w:val="single" w:color="auto" w:sz="12" w:space="0"/>
              <w:right w:val="single" w:color="auto" w:sz="6" w:space="0"/>
            </w:tcBorders>
          </w:tcPr>
          <w:p>
            <w:pPr>
              <w:spacing w:line="240" w:lineRule="auto"/>
              <w:rPr>
                <w:rFonts w:ascii="宋体" w:hAnsi="宋体" w:cs="宋体"/>
                <w:szCs w:val="21"/>
              </w:rPr>
            </w:pPr>
          </w:p>
        </w:tc>
        <w:tc>
          <w:tcPr>
            <w:tcW w:w="1200" w:type="dxa"/>
            <w:tcBorders>
              <w:top w:val="single" w:color="auto" w:sz="6" w:space="0"/>
              <w:left w:val="single" w:color="auto" w:sz="6" w:space="0"/>
              <w:bottom w:val="single" w:color="auto" w:sz="12" w:space="0"/>
              <w:right w:val="single" w:color="auto" w:sz="6" w:space="0"/>
            </w:tcBorders>
          </w:tcPr>
          <w:p>
            <w:pPr>
              <w:spacing w:line="240" w:lineRule="auto"/>
              <w:rPr>
                <w:rFonts w:ascii="宋体" w:hAnsi="宋体" w:cs="宋体"/>
                <w:szCs w:val="21"/>
              </w:rPr>
            </w:pPr>
          </w:p>
        </w:tc>
        <w:tc>
          <w:tcPr>
            <w:tcW w:w="1215" w:type="dxa"/>
            <w:tcBorders>
              <w:top w:val="single" w:color="auto" w:sz="6" w:space="0"/>
              <w:left w:val="single" w:color="auto" w:sz="6" w:space="0"/>
              <w:bottom w:val="single" w:color="auto" w:sz="12" w:space="0"/>
              <w:right w:val="single" w:color="auto" w:sz="6" w:space="0"/>
            </w:tcBorders>
          </w:tcPr>
          <w:p>
            <w:pPr>
              <w:spacing w:line="240" w:lineRule="auto"/>
              <w:rPr>
                <w:rFonts w:ascii="宋体" w:hAnsi="宋体" w:cs="宋体"/>
                <w:szCs w:val="21"/>
              </w:rPr>
            </w:pPr>
          </w:p>
        </w:tc>
        <w:tc>
          <w:tcPr>
            <w:tcW w:w="992" w:type="dxa"/>
            <w:tcBorders>
              <w:top w:val="single" w:color="auto" w:sz="6" w:space="0"/>
              <w:left w:val="single" w:color="auto" w:sz="6" w:space="0"/>
              <w:bottom w:val="single" w:color="auto" w:sz="12" w:space="0"/>
              <w:right w:val="single" w:color="auto" w:sz="12" w:space="0"/>
            </w:tcBorders>
          </w:tcPr>
          <w:p>
            <w:pPr>
              <w:spacing w:line="240" w:lineRule="auto"/>
              <w:rPr>
                <w:rFonts w:ascii="宋体" w:hAnsi="宋体" w:cs="宋体"/>
                <w:szCs w:val="21"/>
              </w:rPr>
            </w:pPr>
          </w:p>
        </w:tc>
      </w:tr>
    </w:tbl>
    <w:p>
      <w:pPr>
        <w:tabs>
          <w:tab w:val="left" w:pos="432"/>
        </w:tabs>
        <w:rPr>
          <w:rFonts w:ascii="宋体" w:hAnsi="宋体" w:cs="宋体"/>
        </w:rPr>
      </w:pPr>
      <w:bookmarkStart w:id="573" w:name="_Toc24459"/>
    </w:p>
    <w:p>
      <w:pPr>
        <w:tabs>
          <w:tab w:val="left" w:pos="432"/>
        </w:tabs>
        <w:rPr>
          <w:rFonts w:ascii="宋体" w:hAnsi="宋体" w:cs="宋体"/>
        </w:rPr>
      </w:pPr>
    </w:p>
    <w:p>
      <w:pPr>
        <w:tabs>
          <w:tab w:val="left" w:pos="432"/>
        </w:tabs>
        <w:rPr>
          <w:rFonts w:ascii="宋体" w:hAnsi="宋体" w:cs="宋体"/>
          <w:b/>
        </w:rPr>
      </w:pPr>
      <w:r>
        <w:rPr>
          <w:rFonts w:hint="eastAsia" w:ascii="宋体" w:hAnsi="宋体" w:cs="宋体"/>
          <w:b/>
        </w:rPr>
        <w:br w:type="page"/>
      </w:r>
    </w:p>
    <w:p>
      <w:pPr>
        <w:tabs>
          <w:tab w:val="left" w:pos="432"/>
        </w:tabs>
        <w:rPr>
          <w:rFonts w:ascii="宋体" w:hAnsi="宋体" w:cs="宋体"/>
          <w:b/>
        </w:rPr>
      </w:pPr>
      <w:r>
        <w:rPr>
          <w:rFonts w:hint="eastAsia" w:ascii="宋体" w:hAnsi="宋体" w:cs="宋体"/>
          <w:b/>
        </w:rPr>
        <w:t>附</w:t>
      </w:r>
      <w:bookmarkStart w:id="574" w:name="_Toc296346729"/>
      <w:bookmarkStart w:id="575" w:name="_Toc296891056"/>
      <w:bookmarkStart w:id="576" w:name="_Toc267261699"/>
      <w:bookmarkStart w:id="577" w:name="_Toc296891268"/>
      <w:bookmarkStart w:id="578" w:name="_Toc296347227"/>
      <w:bookmarkStart w:id="579" w:name="_Toc296944567"/>
      <w:bookmarkStart w:id="580" w:name="_Toc296503228"/>
      <w:r>
        <w:rPr>
          <w:rFonts w:hint="eastAsia" w:ascii="宋体" w:hAnsi="宋体" w:cs="宋体"/>
          <w:b/>
        </w:rPr>
        <w:t>件9：</w:t>
      </w:r>
      <w:bookmarkEnd w:id="573"/>
    </w:p>
    <w:bookmarkEnd w:id="574"/>
    <w:bookmarkEnd w:id="575"/>
    <w:bookmarkEnd w:id="576"/>
    <w:bookmarkEnd w:id="577"/>
    <w:bookmarkEnd w:id="578"/>
    <w:bookmarkEnd w:id="579"/>
    <w:bookmarkEnd w:id="580"/>
    <w:p>
      <w:pPr>
        <w:tabs>
          <w:tab w:val="left" w:pos="432"/>
        </w:tabs>
        <w:spacing w:line="240" w:lineRule="auto"/>
        <w:jc w:val="center"/>
        <w:rPr>
          <w:rFonts w:ascii="宋体" w:hAnsi="宋体" w:cs="宋体"/>
          <w:b/>
          <w:sz w:val="28"/>
          <w:szCs w:val="28"/>
        </w:rPr>
      </w:pPr>
      <w:bookmarkStart w:id="581" w:name="_Toc14709"/>
      <w:r>
        <w:rPr>
          <w:rFonts w:hint="eastAsia" w:ascii="宋体" w:hAnsi="宋体" w:cs="宋体"/>
          <w:b/>
          <w:sz w:val="28"/>
          <w:szCs w:val="28"/>
        </w:rPr>
        <w:t>承包人主要施工管理人员表</w:t>
      </w:r>
      <w:bookmarkEnd w:id="581"/>
    </w:p>
    <w:tbl>
      <w:tblPr>
        <w:tblStyle w:val="4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770"/>
        <w:gridCol w:w="1418"/>
        <w:gridCol w:w="1453"/>
        <w:gridCol w:w="1418"/>
        <w:gridCol w:w="26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70" w:type="dxa"/>
            <w:tcBorders>
              <w:top w:val="single" w:color="auto" w:sz="12" w:space="0"/>
              <w:left w:val="single" w:color="auto" w:sz="12"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名    称</w:t>
            </w:r>
          </w:p>
        </w:tc>
        <w:tc>
          <w:tcPr>
            <w:tcW w:w="1418"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姓名</w:t>
            </w:r>
          </w:p>
        </w:tc>
        <w:tc>
          <w:tcPr>
            <w:tcW w:w="1453"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职务</w:t>
            </w:r>
          </w:p>
        </w:tc>
        <w:tc>
          <w:tcPr>
            <w:tcW w:w="1418"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职称</w:t>
            </w:r>
          </w:p>
        </w:tc>
        <w:tc>
          <w:tcPr>
            <w:tcW w:w="2688" w:type="dxa"/>
            <w:tcBorders>
              <w:top w:val="single" w:color="auto" w:sz="12" w:space="0"/>
              <w:left w:val="single" w:color="auto" w:sz="6" w:space="0"/>
              <w:bottom w:val="double" w:color="auto" w:sz="6" w:space="0"/>
              <w:right w:val="single" w:color="auto" w:sz="12" w:space="0"/>
            </w:tcBorders>
            <w:vAlign w:val="center"/>
          </w:tcPr>
          <w:p>
            <w:pPr>
              <w:pStyle w:val="21"/>
              <w:keepNext/>
              <w:spacing w:line="240" w:lineRule="auto"/>
              <w:rPr>
                <w:rFonts w:ascii="宋体" w:hAnsi="宋体" w:cs="宋体"/>
                <w:szCs w:val="21"/>
              </w:rPr>
            </w:pPr>
            <w:r>
              <w:rPr>
                <w:rFonts w:hint="eastAsia" w:ascii="宋体" w:hAnsi="宋体" w:cs="宋体"/>
                <w:szCs w:val="21"/>
              </w:rPr>
              <w:t>主要资历、经验</w:t>
            </w:r>
          </w:p>
          <w:p>
            <w:pPr>
              <w:pStyle w:val="21"/>
              <w:keepNext/>
              <w:spacing w:line="240" w:lineRule="auto"/>
              <w:rPr>
                <w:rFonts w:ascii="宋体" w:hAnsi="宋体" w:cs="宋体"/>
                <w:szCs w:val="21"/>
              </w:rPr>
            </w:pPr>
            <w:r>
              <w:rPr>
                <w:rFonts w:hint="eastAsia" w:ascii="宋体" w:hAnsi="宋体" w:cs="宋体"/>
                <w:szCs w:val="21"/>
              </w:rPr>
              <w:t>及承担过的项目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747" w:type="dxa"/>
            <w:gridSpan w:val="5"/>
            <w:tcBorders>
              <w:top w:val="double" w:color="auto" w:sz="6" w:space="0"/>
              <w:left w:val="single" w:color="auto" w:sz="12" w:space="0"/>
              <w:bottom w:val="single" w:color="auto" w:sz="6" w:space="0"/>
              <w:right w:val="single" w:color="auto" w:sz="12" w:space="0"/>
            </w:tcBorders>
            <w:vAlign w:val="center"/>
          </w:tcPr>
          <w:p>
            <w:pPr>
              <w:pStyle w:val="21"/>
              <w:keepNext/>
              <w:spacing w:line="240" w:lineRule="auto"/>
              <w:rPr>
                <w:rFonts w:ascii="宋体" w:hAnsi="宋体" w:cs="宋体"/>
                <w:szCs w:val="21"/>
              </w:rPr>
            </w:pPr>
            <w:r>
              <w:rPr>
                <w:rFonts w:hint="eastAsia" w:ascii="宋体" w:hAnsi="宋体" w:cs="宋体"/>
                <w:szCs w:val="21"/>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70" w:type="dxa"/>
            <w:tcBorders>
              <w:top w:val="nil"/>
              <w:left w:val="single" w:color="auto" w:sz="12" w:space="0"/>
              <w:bottom w:val="nil"/>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项目主管</w:t>
            </w:r>
          </w:p>
        </w:tc>
        <w:tc>
          <w:tcPr>
            <w:tcW w:w="1418"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3"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8"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688" w:type="dxa"/>
            <w:tcBorders>
              <w:top w:val="nil"/>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70" w:type="dxa"/>
            <w:tcBorders>
              <w:top w:val="single" w:color="auto" w:sz="6" w:space="0"/>
              <w:left w:val="single" w:color="auto" w:sz="12" w:space="0"/>
              <w:bottom w:val="single" w:color="auto" w:sz="4"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财务负责人</w:t>
            </w: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688"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70" w:type="dxa"/>
            <w:tcBorders>
              <w:top w:val="single" w:color="auto" w:sz="4"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其他人员</w:t>
            </w: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688"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747" w:type="dxa"/>
            <w:gridSpan w:val="5"/>
            <w:tcBorders>
              <w:top w:val="single" w:color="auto" w:sz="6" w:space="0"/>
              <w:left w:val="single" w:color="auto" w:sz="12" w:space="0"/>
              <w:bottom w:val="single" w:color="auto" w:sz="6" w:space="0"/>
              <w:right w:val="single" w:color="auto" w:sz="12" w:space="0"/>
            </w:tcBorders>
            <w:vAlign w:val="center"/>
          </w:tcPr>
          <w:p>
            <w:pPr>
              <w:pStyle w:val="21"/>
              <w:keepNext/>
              <w:spacing w:line="240" w:lineRule="auto"/>
              <w:rPr>
                <w:rFonts w:ascii="宋体" w:hAnsi="宋体" w:cs="宋体"/>
                <w:szCs w:val="21"/>
              </w:rPr>
            </w:pPr>
            <w:r>
              <w:rPr>
                <w:rFonts w:hint="eastAsia" w:ascii="宋体" w:hAnsi="宋体" w:cs="宋体"/>
                <w:szCs w:val="21"/>
              </w:rPr>
              <w:t>二、现场人员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70"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项目经理</w:t>
            </w: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688"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70"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项目副经理</w:t>
            </w: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688"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70"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技术负责人</w:t>
            </w: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688"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70"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造价管理</w:t>
            </w: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688"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70"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质量管理</w:t>
            </w: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688"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70"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材料管理</w:t>
            </w: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688"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70"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计划管理</w:t>
            </w: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688"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70"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安全管理</w:t>
            </w: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688"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70" w:type="dxa"/>
            <w:tcBorders>
              <w:top w:val="single" w:color="auto" w:sz="6" w:space="0"/>
              <w:left w:val="single" w:color="auto" w:sz="12" w:space="0"/>
              <w:bottom w:val="single" w:color="auto" w:sz="4"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施工管理</w:t>
            </w: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688"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70" w:type="dxa"/>
            <w:tcBorders>
              <w:top w:val="single" w:color="auto" w:sz="4"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其他人员</w:t>
            </w: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5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688"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bl>
    <w:p>
      <w:pPr>
        <w:tabs>
          <w:tab w:val="left" w:pos="432"/>
        </w:tabs>
        <w:rPr>
          <w:rFonts w:ascii="宋体" w:hAnsi="宋体" w:cs="宋体"/>
          <w:b/>
        </w:rPr>
      </w:pPr>
      <w:r>
        <w:rPr>
          <w:rFonts w:hint="eastAsia" w:ascii="宋体" w:hAnsi="宋体" w:cs="宋体"/>
          <w:szCs w:val="30"/>
        </w:rPr>
        <w:br w:type="page"/>
      </w:r>
      <w:bookmarkStart w:id="582" w:name="_Toc28263"/>
      <w:r>
        <w:rPr>
          <w:rFonts w:hint="eastAsia" w:ascii="宋体" w:hAnsi="宋体" w:cs="宋体"/>
          <w:b/>
        </w:rPr>
        <w:t>附件10：</w:t>
      </w:r>
      <w:bookmarkEnd w:id="582"/>
    </w:p>
    <w:p>
      <w:pPr>
        <w:tabs>
          <w:tab w:val="left" w:pos="432"/>
        </w:tabs>
        <w:spacing w:line="240" w:lineRule="auto"/>
        <w:jc w:val="center"/>
        <w:rPr>
          <w:rFonts w:ascii="宋体" w:hAnsi="宋体" w:cs="宋体"/>
          <w:b/>
          <w:sz w:val="28"/>
          <w:szCs w:val="28"/>
        </w:rPr>
      </w:pPr>
      <w:bookmarkStart w:id="583" w:name="_Toc25008"/>
      <w:r>
        <w:rPr>
          <w:rFonts w:hint="eastAsia" w:ascii="宋体" w:hAnsi="宋体" w:cs="宋体"/>
          <w:b/>
          <w:sz w:val="28"/>
          <w:szCs w:val="28"/>
        </w:rPr>
        <w:t>10-1：材料暂估价表</w:t>
      </w:r>
      <w:bookmarkEnd w:id="583"/>
    </w:p>
    <w:tbl>
      <w:tblPr>
        <w:tblStyle w:val="49"/>
        <w:tblW w:w="0" w:type="auto"/>
        <w:tblInd w:w="-114"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993"/>
        <w:gridCol w:w="1984"/>
        <w:gridCol w:w="851"/>
        <w:gridCol w:w="774"/>
        <w:gridCol w:w="1352"/>
        <w:gridCol w:w="1418"/>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12" w:space="0"/>
              <w:left w:val="single" w:color="auto" w:sz="12" w:space="0"/>
              <w:bottom w:val="double" w:color="auto" w:sz="6" w:space="0"/>
              <w:right w:val="single" w:color="auto" w:sz="6" w:space="0"/>
            </w:tcBorders>
          </w:tcPr>
          <w:p>
            <w:pPr>
              <w:pStyle w:val="21"/>
              <w:keepNext/>
              <w:spacing w:line="400" w:lineRule="exact"/>
              <w:ind w:left="62" w:right="62"/>
              <w:rPr>
                <w:rFonts w:ascii="宋体" w:hAnsi="宋体" w:cs="宋体"/>
                <w:szCs w:val="21"/>
              </w:rPr>
            </w:pPr>
            <w:r>
              <w:rPr>
                <w:rFonts w:hint="eastAsia" w:ascii="宋体" w:hAnsi="宋体" w:cs="宋体"/>
                <w:szCs w:val="21"/>
              </w:rPr>
              <w:t>序号</w:t>
            </w:r>
          </w:p>
        </w:tc>
        <w:tc>
          <w:tcPr>
            <w:tcW w:w="1984" w:type="dxa"/>
            <w:tcBorders>
              <w:top w:val="single" w:color="auto" w:sz="12" w:space="0"/>
              <w:left w:val="single" w:color="auto" w:sz="6" w:space="0"/>
              <w:bottom w:val="double" w:color="auto" w:sz="6" w:space="0"/>
              <w:right w:val="single" w:color="auto" w:sz="6" w:space="0"/>
            </w:tcBorders>
          </w:tcPr>
          <w:p>
            <w:pPr>
              <w:pStyle w:val="21"/>
              <w:keepNext/>
              <w:spacing w:line="400" w:lineRule="exact"/>
              <w:ind w:left="62" w:right="62"/>
              <w:rPr>
                <w:rFonts w:ascii="宋体" w:hAnsi="宋体" w:cs="宋体"/>
                <w:szCs w:val="21"/>
              </w:rPr>
            </w:pPr>
            <w:r>
              <w:rPr>
                <w:rFonts w:hint="eastAsia" w:ascii="宋体" w:hAnsi="宋体" w:cs="宋体"/>
                <w:szCs w:val="21"/>
              </w:rPr>
              <w:t>名称</w:t>
            </w:r>
          </w:p>
        </w:tc>
        <w:tc>
          <w:tcPr>
            <w:tcW w:w="851" w:type="dxa"/>
            <w:tcBorders>
              <w:top w:val="single" w:color="auto" w:sz="12" w:space="0"/>
              <w:left w:val="single" w:color="auto" w:sz="6" w:space="0"/>
              <w:bottom w:val="double" w:color="auto" w:sz="6" w:space="0"/>
              <w:right w:val="single" w:color="auto" w:sz="6" w:space="0"/>
            </w:tcBorders>
          </w:tcPr>
          <w:p>
            <w:pPr>
              <w:pStyle w:val="21"/>
              <w:keepNext/>
              <w:spacing w:line="400" w:lineRule="exact"/>
              <w:ind w:left="62" w:right="62"/>
              <w:rPr>
                <w:rFonts w:ascii="宋体" w:hAnsi="宋体" w:cs="宋体"/>
                <w:szCs w:val="21"/>
              </w:rPr>
            </w:pPr>
            <w:r>
              <w:rPr>
                <w:rFonts w:hint="eastAsia" w:ascii="宋体" w:hAnsi="宋体" w:cs="宋体"/>
                <w:szCs w:val="21"/>
              </w:rPr>
              <w:t>单位</w:t>
            </w:r>
          </w:p>
        </w:tc>
        <w:tc>
          <w:tcPr>
            <w:tcW w:w="774" w:type="dxa"/>
            <w:tcBorders>
              <w:top w:val="single" w:color="auto" w:sz="12" w:space="0"/>
              <w:left w:val="single" w:color="auto" w:sz="6" w:space="0"/>
              <w:bottom w:val="double" w:color="auto" w:sz="6" w:space="0"/>
              <w:right w:val="single" w:color="auto" w:sz="6" w:space="0"/>
            </w:tcBorders>
          </w:tcPr>
          <w:p>
            <w:pPr>
              <w:pStyle w:val="21"/>
              <w:keepNext/>
              <w:spacing w:line="400" w:lineRule="exact"/>
              <w:ind w:left="62" w:right="62"/>
              <w:rPr>
                <w:rFonts w:ascii="宋体" w:hAnsi="宋体" w:cs="宋体"/>
                <w:szCs w:val="21"/>
              </w:rPr>
            </w:pPr>
            <w:r>
              <w:rPr>
                <w:rFonts w:hint="eastAsia" w:ascii="宋体" w:hAnsi="宋体" w:cs="宋体"/>
                <w:szCs w:val="21"/>
              </w:rPr>
              <w:t>数量</w:t>
            </w:r>
          </w:p>
        </w:tc>
        <w:tc>
          <w:tcPr>
            <w:tcW w:w="1352" w:type="dxa"/>
            <w:tcBorders>
              <w:top w:val="single" w:color="auto" w:sz="12" w:space="0"/>
              <w:left w:val="single" w:color="auto" w:sz="6" w:space="0"/>
              <w:bottom w:val="double" w:color="auto" w:sz="6" w:space="0"/>
              <w:right w:val="single" w:color="auto" w:sz="6" w:space="0"/>
            </w:tcBorders>
          </w:tcPr>
          <w:p>
            <w:pPr>
              <w:pStyle w:val="21"/>
              <w:keepNext/>
              <w:spacing w:line="400" w:lineRule="exact"/>
              <w:ind w:left="62" w:right="62"/>
              <w:rPr>
                <w:rFonts w:ascii="宋体" w:hAnsi="宋体" w:cs="宋体"/>
                <w:szCs w:val="21"/>
              </w:rPr>
            </w:pPr>
            <w:r>
              <w:rPr>
                <w:rFonts w:hint="eastAsia" w:ascii="宋体" w:hAnsi="宋体" w:cs="宋体"/>
                <w:szCs w:val="21"/>
              </w:rPr>
              <w:t>单价（元）</w:t>
            </w:r>
          </w:p>
        </w:tc>
        <w:tc>
          <w:tcPr>
            <w:tcW w:w="1418" w:type="dxa"/>
            <w:tcBorders>
              <w:top w:val="single" w:color="auto" w:sz="12" w:space="0"/>
              <w:left w:val="single" w:color="auto" w:sz="6" w:space="0"/>
              <w:bottom w:val="double" w:color="auto" w:sz="6" w:space="0"/>
              <w:right w:val="single" w:color="auto" w:sz="6" w:space="0"/>
            </w:tcBorders>
          </w:tcPr>
          <w:p>
            <w:pPr>
              <w:pStyle w:val="21"/>
              <w:keepNext/>
              <w:spacing w:line="400" w:lineRule="exact"/>
              <w:ind w:left="62" w:right="62"/>
              <w:rPr>
                <w:rFonts w:ascii="宋体" w:hAnsi="宋体" w:cs="宋体"/>
                <w:szCs w:val="21"/>
              </w:rPr>
            </w:pPr>
            <w:r>
              <w:rPr>
                <w:rFonts w:hint="eastAsia" w:ascii="宋体" w:hAnsi="宋体" w:cs="宋体"/>
                <w:szCs w:val="21"/>
              </w:rPr>
              <w:t>合价（元）</w:t>
            </w:r>
          </w:p>
        </w:tc>
        <w:tc>
          <w:tcPr>
            <w:tcW w:w="1701" w:type="dxa"/>
            <w:tcBorders>
              <w:top w:val="single" w:color="auto" w:sz="12" w:space="0"/>
              <w:left w:val="single" w:color="auto" w:sz="6" w:space="0"/>
              <w:bottom w:val="double" w:color="auto" w:sz="6" w:space="0"/>
              <w:right w:val="single" w:color="auto" w:sz="12" w:space="0"/>
            </w:tcBorders>
          </w:tcPr>
          <w:p>
            <w:pPr>
              <w:pStyle w:val="21"/>
              <w:keepNext/>
              <w:spacing w:line="400" w:lineRule="exact"/>
              <w:ind w:left="62" w:right="62"/>
              <w:rPr>
                <w:rFonts w:ascii="宋体" w:hAnsi="宋体" w:cs="宋体"/>
                <w:szCs w:val="21"/>
              </w:rPr>
            </w:pPr>
            <w:r>
              <w:rPr>
                <w:rFonts w:hint="eastAsia" w:ascii="宋体" w:hAnsi="宋体" w:cs="宋体"/>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doub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r>
              <w:rPr>
                <w:rFonts w:hint="eastAsia" w:ascii="宋体" w:hAnsi="宋体" w:cs="宋体"/>
                <w:szCs w:val="21"/>
              </w:rPr>
              <w:t>1</w:t>
            </w:r>
          </w:p>
        </w:tc>
        <w:tc>
          <w:tcPr>
            <w:tcW w:w="1984" w:type="dxa"/>
            <w:tcBorders>
              <w:top w:val="doub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851" w:type="dxa"/>
            <w:tcBorders>
              <w:top w:val="doub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774" w:type="dxa"/>
            <w:tcBorders>
              <w:top w:val="doub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doub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doub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doub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nil"/>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984" w:type="dxa"/>
            <w:tcBorders>
              <w:top w:val="nil"/>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851" w:type="dxa"/>
            <w:tcBorders>
              <w:top w:val="nil"/>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774" w:type="dxa"/>
            <w:tcBorders>
              <w:top w:val="nil"/>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nil"/>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nil"/>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nil"/>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85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77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85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77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85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77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85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77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85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77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85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77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85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77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85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77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85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77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85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77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85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77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85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77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85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774"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12" w:space="0"/>
              <w:right w:val="single" w:color="auto" w:sz="6" w:space="0"/>
            </w:tcBorders>
          </w:tcPr>
          <w:p>
            <w:pPr>
              <w:pStyle w:val="21"/>
              <w:keepNext/>
              <w:spacing w:line="600" w:lineRule="exact"/>
              <w:ind w:left="63" w:right="63"/>
              <w:rPr>
                <w:rFonts w:ascii="宋体" w:hAnsi="宋体" w:cs="宋体"/>
                <w:szCs w:val="21"/>
              </w:rPr>
            </w:pPr>
          </w:p>
        </w:tc>
        <w:tc>
          <w:tcPr>
            <w:tcW w:w="1984" w:type="dxa"/>
            <w:tcBorders>
              <w:top w:val="single" w:color="auto" w:sz="6" w:space="0"/>
              <w:left w:val="single" w:color="auto" w:sz="6" w:space="0"/>
              <w:bottom w:val="single" w:color="auto" w:sz="12" w:space="0"/>
              <w:right w:val="single" w:color="auto" w:sz="6" w:space="0"/>
            </w:tcBorders>
          </w:tcPr>
          <w:p>
            <w:pPr>
              <w:pStyle w:val="21"/>
              <w:keepNext/>
              <w:spacing w:line="600" w:lineRule="exact"/>
              <w:ind w:left="63" w:right="63"/>
              <w:rPr>
                <w:rFonts w:ascii="宋体" w:hAnsi="宋体" w:cs="宋体"/>
                <w:szCs w:val="21"/>
              </w:rPr>
            </w:pPr>
          </w:p>
        </w:tc>
        <w:tc>
          <w:tcPr>
            <w:tcW w:w="851" w:type="dxa"/>
            <w:tcBorders>
              <w:top w:val="single" w:color="auto" w:sz="6" w:space="0"/>
              <w:left w:val="single" w:color="auto" w:sz="6" w:space="0"/>
              <w:bottom w:val="single" w:color="auto" w:sz="12" w:space="0"/>
              <w:right w:val="single" w:color="auto" w:sz="6" w:space="0"/>
            </w:tcBorders>
          </w:tcPr>
          <w:p>
            <w:pPr>
              <w:pStyle w:val="21"/>
              <w:keepNext/>
              <w:spacing w:line="600" w:lineRule="exact"/>
              <w:ind w:left="63" w:right="63"/>
              <w:rPr>
                <w:rFonts w:ascii="宋体" w:hAnsi="宋体" w:cs="宋体"/>
                <w:szCs w:val="21"/>
              </w:rPr>
            </w:pPr>
          </w:p>
        </w:tc>
        <w:tc>
          <w:tcPr>
            <w:tcW w:w="774" w:type="dxa"/>
            <w:tcBorders>
              <w:top w:val="single" w:color="auto" w:sz="6" w:space="0"/>
              <w:left w:val="single" w:color="auto" w:sz="6" w:space="0"/>
              <w:bottom w:val="single" w:color="auto" w:sz="12"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12"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12"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12" w:space="0"/>
              <w:right w:val="single" w:color="auto" w:sz="12" w:space="0"/>
            </w:tcBorders>
          </w:tcPr>
          <w:p>
            <w:pPr>
              <w:pStyle w:val="21"/>
              <w:keepNext/>
              <w:spacing w:line="600" w:lineRule="exact"/>
              <w:ind w:left="63" w:right="63"/>
              <w:rPr>
                <w:rFonts w:ascii="宋体" w:hAnsi="宋体" w:cs="宋体"/>
                <w:szCs w:val="21"/>
              </w:rPr>
            </w:pPr>
          </w:p>
        </w:tc>
      </w:tr>
    </w:tbl>
    <w:p>
      <w:pPr>
        <w:tabs>
          <w:tab w:val="left" w:pos="432"/>
        </w:tabs>
        <w:rPr>
          <w:rFonts w:ascii="宋体" w:hAnsi="宋体" w:cs="宋体"/>
        </w:rPr>
      </w:pPr>
      <w:bookmarkStart w:id="584" w:name="_Toc746"/>
    </w:p>
    <w:p>
      <w:pPr>
        <w:tabs>
          <w:tab w:val="left" w:pos="432"/>
        </w:tabs>
        <w:rPr>
          <w:rFonts w:ascii="宋体" w:hAnsi="宋体" w:cs="宋体"/>
          <w:b/>
        </w:rPr>
      </w:pPr>
      <w:r>
        <w:rPr>
          <w:rFonts w:hint="eastAsia" w:ascii="宋体" w:hAnsi="宋体" w:cs="宋体"/>
          <w:b/>
        </w:rPr>
        <w:br w:type="page"/>
      </w:r>
    </w:p>
    <w:p>
      <w:pPr>
        <w:tabs>
          <w:tab w:val="left" w:pos="432"/>
        </w:tabs>
        <w:spacing w:line="240" w:lineRule="auto"/>
        <w:jc w:val="center"/>
        <w:rPr>
          <w:rFonts w:ascii="宋体" w:hAnsi="宋体" w:cs="宋体"/>
          <w:b/>
          <w:sz w:val="28"/>
          <w:szCs w:val="28"/>
        </w:rPr>
      </w:pPr>
      <w:r>
        <w:rPr>
          <w:rFonts w:hint="eastAsia" w:ascii="宋体" w:hAnsi="宋体" w:cs="宋体"/>
          <w:b/>
          <w:sz w:val="28"/>
          <w:szCs w:val="28"/>
        </w:rPr>
        <w:t>10-2：工程设备暂估价表</w:t>
      </w:r>
      <w:bookmarkEnd w:id="584"/>
    </w:p>
    <w:tbl>
      <w:tblPr>
        <w:tblStyle w:val="49"/>
        <w:tblW w:w="0" w:type="auto"/>
        <w:tblInd w:w="-114"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993"/>
        <w:gridCol w:w="1701"/>
        <w:gridCol w:w="992"/>
        <w:gridCol w:w="916"/>
        <w:gridCol w:w="1352"/>
        <w:gridCol w:w="1418"/>
        <w:gridCol w:w="14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12" w:space="0"/>
              <w:left w:val="single" w:color="auto" w:sz="12" w:space="0"/>
              <w:bottom w:val="double" w:color="auto" w:sz="6" w:space="0"/>
              <w:right w:val="single" w:color="auto" w:sz="6" w:space="0"/>
            </w:tcBorders>
          </w:tcPr>
          <w:p>
            <w:pPr>
              <w:pStyle w:val="21"/>
              <w:keepNext/>
              <w:spacing w:line="400" w:lineRule="exact"/>
              <w:ind w:left="62" w:right="62"/>
              <w:rPr>
                <w:rFonts w:ascii="宋体" w:hAnsi="宋体" w:cs="宋体"/>
                <w:szCs w:val="21"/>
              </w:rPr>
            </w:pPr>
            <w:r>
              <w:rPr>
                <w:rFonts w:hint="eastAsia" w:ascii="宋体" w:hAnsi="宋体" w:cs="宋体"/>
                <w:szCs w:val="21"/>
              </w:rPr>
              <w:t>序号</w:t>
            </w:r>
          </w:p>
        </w:tc>
        <w:tc>
          <w:tcPr>
            <w:tcW w:w="1701" w:type="dxa"/>
            <w:tcBorders>
              <w:top w:val="single" w:color="auto" w:sz="12" w:space="0"/>
              <w:left w:val="single" w:color="auto" w:sz="6" w:space="0"/>
              <w:bottom w:val="double" w:color="auto" w:sz="6" w:space="0"/>
              <w:right w:val="single" w:color="auto" w:sz="6" w:space="0"/>
            </w:tcBorders>
          </w:tcPr>
          <w:p>
            <w:pPr>
              <w:pStyle w:val="21"/>
              <w:keepNext/>
              <w:spacing w:line="400" w:lineRule="exact"/>
              <w:ind w:left="62" w:right="62"/>
              <w:rPr>
                <w:rFonts w:ascii="宋体" w:hAnsi="宋体" w:cs="宋体"/>
                <w:szCs w:val="21"/>
              </w:rPr>
            </w:pPr>
            <w:r>
              <w:rPr>
                <w:rFonts w:hint="eastAsia" w:ascii="宋体" w:hAnsi="宋体" w:cs="宋体"/>
                <w:szCs w:val="21"/>
              </w:rPr>
              <w:t>名称</w:t>
            </w:r>
          </w:p>
        </w:tc>
        <w:tc>
          <w:tcPr>
            <w:tcW w:w="992" w:type="dxa"/>
            <w:tcBorders>
              <w:top w:val="single" w:color="auto" w:sz="12" w:space="0"/>
              <w:left w:val="single" w:color="auto" w:sz="6" w:space="0"/>
              <w:bottom w:val="double" w:color="auto" w:sz="6" w:space="0"/>
              <w:right w:val="single" w:color="auto" w:sz="6" w:space="0"/>
            </w:tcBorders>
          </w:tcPr>
          <w:p>
            <w:pPr>
              <w:pStyle w:val="21"/>
              <w:keepNext/>
              <w:spacing w:line="400" w:lineRule="exact"/>
              <w:ind w:left="62" w:right="62"/>
              <w:rPr>
                <w:rFonts w:ascii="宋体" w:hAnsi="宋体" w:cs="宋体"/>
                <w:szCs w:val="21"/>
              </w:rPr>
            </w:pPr>
            <w:r>
              <w:rPr>
                <w:rFonts w:hint="eastAsia" w:ascii="宋体" w:hAnsi="宋体" w:cs="宋体"/>
                <w:szCs w:val="21"/>
              </w:rPr>
              <w:t>单位</w:t>
            </w:r>
          </w:p>
        </w:tc>
        <w:tc>
          <w:tcPr>
            <w:tcW w:w="916" w:type="dxa"/>
            <w:tcBorders>
              <w:top w:val="single" w:color="auto" w:sz="12" w:space="0"/>
              <w:left w:val="single" w:color="auto" w:sz="6" w:space="0"/>
              <w:bottom w:val="double" w:color="auto" w:sz="6" w:space="0"/>
              <w:right w:val="single" w:color="auto" w:sz="6" w:space="0"/>
            </w:tcBorders>
          </w:tcPr>
          <w:p>
            <w:pPr>
              <w:pStyle w:val="21"/>
              <w:keepNext/>
              <w:spacing w:line="400" w:lineRule="exact"/>
              <w:ind w:left="62" w:right="62"/>
              <w:rPr>
                <w:rFonts w:ascii="宋体" w:hAnsi="宋体" w:cs="宋体"/>
                <w:szCs w:val="21"/>
              </w:rPr>
            </w:pPr>
            <w:r>
              <w:rPr>
                <w:rFonts w:hint="eastAsia" w:ascii="宋体" w:hAnsi="宋体" w:cs="宋体"/>
                <w:szCs w:val="21"/>
              </w:rPr>
              <w:t>数量</w:t>
            </w:r>
          </w:p>
        </w:tc>
        <w:tc>
          <w:tcPr>
            <w:tcW w:w="1352" w:type="dxa"/>
            <w:tcBorders>
              <w:top w:val="single" w:color="auto" w:sz="12" w:space="0"/>
              <w:left w:val="single" w:color="auto" w:sz="6" w:space="0"/>
              <w:bottom w:val="double" w:color="auto" w:sz="6" w:space="0"/>
              <w:right w:val="single" w:color="auto" w:sz="6" w:space="0"/>
            </w:tcBorders>
          </w:tcPr>
          <w:p>
            <w:pPr>
              <w:pStyle w:val="21"/>
              <w:keepNext/>
              <w:spacing w:line="400" w:lineRule="exact"/>
              <w:ind w:left="62" w:right="62"/>
              <w:rPr>
                <w:rFonts w:ascii="宋体" w:hAnsi="宋体" w:cs="宋体"/>
                <w:szCs w:val="21"/>
              </w:rPr>
            </w:pPr>
            <w:r>
              <w:rPr>
                <w:rFonts w:hint="eastAsia" w:ascii="宋体" w:hAnsi="宋体" w:cs="宋体"/>
                <w:szCs w:val="21"/>
              </w:rPr>
              <w:t>单价（元）</w:t>
            </w:r>
          </w:p>
        </w:tc>
        <w:tc>
          <w:tcPr>
            <w:tcW w:w="1418" w:type="dxa"/>
            <w:tcBorders>
              <w:top w:val="single" w:color="auto" w:sz="12" w:space="0"/>
              <w:left w:val="single" w:color="auto" w:sz="6" w:space="0"/>
              <w:bottom w:val="double" w:color="auto" w:sz="6" w:space="0"/>
              <w:right w:val="single" w:color="auto" w:sz="6" w:space="0"/>
            </w:tcBorders>
          </w:tcPr>
          <w:p>
            <w:pPr>
              <w:pStyle w:val="21"/>
              <w:keepNext/>
              <w:spacing w:line="400" w:lineRule="exact"/>
              <w:ind w:left="62" w:right="62"/>
              <w:rPr>
                <w:rFonts w:ascii="宋体" w:hAnsi="宋体" w:cs="宋体"/>
                <w:szCs w:val="21"/>
              </w:rPr>
            </w:pPr>
            <w:r>
              <w:rPr>
                <w:rFonts w:hint="eastAsia" w:ascii="宋体" w:hAnsi="宋体" w:cs="宋体"/>
                <w:szCs w:val="21"/>
              </w:rPr>
              <w:t>合价（元）</w:t>
            </w:r>
          </w:p>
        </w:tc>
        <w:tc>
          <w:tcPr>
            <w:tcW w:w="1417" w:type="dxa"/>
            <w:tcBorders>
              <w:top w:val="single" w:color="auto" w:sz="12" w:space="0"/>
              <w:left w:val="single" w:color="auto" w:sz="6" w:space="0"/>
              <w:bottom w:val="double" w:color="auto" w:sz="6" w:space="0"/>
              <w:right w:val="single" w:color="auto" w:sz="12" w:space="0"/>
            </w:tcBorders>
          </w:tcPr>
          <w:p>
            <w:pPr>
              <w:pStyle w:val="21"/>
              <w:keepNext/>
              <w:spacing w:line="400" w:lineRule="exact"/>
              <w:ind w:left="62" w:right="62"/>
              <w:rPr>
                <w:rFonts w:ascii="宋体" w:hAnsi="宋体" w:cs="宋体"/>
                <w:szCs w:val="21"/>
              </w:rPr>
            </w:pPr>
            <w:r>
              <w:rPr>
                <w:rFonts w:hint="eastAsia" w:ascii="宋体" w:hAnsi="宋体" w:cs="宋体"/>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doub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doub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92" w:type="dxa"/>
            <w:tcBorders>
              <w:top w:val="doub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16" w:type="dxa"/>
            <w:tcBorders>
              <w:top w:val="doub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doub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doub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7" w:type="dxa"/>
            <w:tcBorders>
              <w:top w:val="doub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nil"/>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nil"/>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92" w:type="dxa"/>
            <w:tcBorders>
              <w:top w:val="nil"/>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16" w:type="dxa"/>
            <w:tcBorders>
              <w:top w:val="nil"/>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nil"/>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nil"/>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7" w:type="dxa"/>
            <w:tcBorders>
              <w:top w:val="nil"/>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16"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7"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16"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7"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16"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7"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16"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7"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16"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7"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16"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7"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16"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7"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16"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7"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16"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7"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16"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7"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16"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7"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16"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7"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9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916"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6" w:space="0"/>
              <w:right w:val="single" w:color="auto" w:sz="6" w:space="0"/>
            </w:tcBorders>
          </w:tcPr>
          <w:p>
            <w:pPr>
              <w:pStyle w:val="21"/>
              <w:keepNext/>
              <w:spacing w:line="600" w:lineRule="exact"/>
              <w:ind w:left="63" w:right="63"/>
              <w:rPr>
                <w:rFonts w:ascii="宋体" w:hAnsi="宋体" w:cs="宋体"/>
                <w:szCs w:val="21"/>
              </w:rPr>
            </w:pPr>
          </w:p>
        </w:tc>
        <w:tc>
          <w:tcPr>
            <w:tcW w:w="1417" w:type="dxa"/>
            <w:tcBorders>
              <w:top w:val="single" w:color="auto" w:sz="6" w:space="0"/>
              <w:left w:val="single" w:color="auto" w:sz="6" w:space="0"/>
              <w:bottom w:val="single" w:color="auto" w:sz="6" w:space="0"/>
              <w:right w:val="single" w:color="auto" w:sz="12" w:space="0"/>
            </w:tcBorders>
          </w:tcPr>
          <w:p>
            <w:pPr>
              <w:pStyle w:val="21"/>
              <w:keepNext/>
              <w:spacing w:line="600" w:lineRule="exact"/>
              <w:ind w:left="63" w:right="63"/>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6" w:space="0"/>
              <w:left w:val="single" w:color="auto" w:sz="12" w:space="0"/>
              <w:bottom w:val="single" w:color="auto" w:sz="12" w:space="0"/>
              <w:right w:val="single" w:color="auto" w:sz="6" w:space="0"/>
            </w:tcBorders>
          </w:tcPr>
          <w:p>
            <w:pPr>
              <w:pStyle w:val="21"/>
              <w:keepNext/>
              <w:spacing w:line="600" w:lineRule="exact"/>
              <w:ind w:left="63" w:right="63"/>
              <w:rPr>
                <w:rFonts w:ascii="宋体" w:hAnsi="宋体" w:cs="宋体"/>
                <w:szCs w:val="21"/>
              </w:rPr>
            </w:pPr>
          </w:p>
        </w:tc>
        <w:tc>
          <w:tcPr>
            <w:tcW w:w="1701" w:type="dxa"/>
            <w:tcBorders>
              <w:top w:val="single" w:color="auto" w:sz="6" w:space="0"/>
              <w:left w:val="single" w:color="auto" w:sz="6" w:space="0"/>
              <w:bottom w:val="single" w:color="auto" w:sz="12" w:space="0"/>
              <w:right w:val="single" w:color="auto" w:sz="6" w:space="0"/>
            </w:tcBorders>
          </w:tcPr>
          <w:p>
            <w:pPr>
              <w:pStyle w:val="21"/>
              <w:keepNext/>
              <w:spacing w:line="600" w:lineRule="exact"/>
              <w:ind w:left="63" w:right="63"/>
              <w:rPr>
                <w:rFonts w:ascii="宋体" w:hAnsi="宋体" w:cs="宋体"/>
                <w:szCs w:val="21"/>
              </w:rPr>
            </w:pPr>
          </w:p>
        </w:tc>
        <w:tc>
          <w:tcPr>
            <w:tcW w:w="992" w:type="dxa"/>
            <w:tcBorders>
              <w:top w:val="single" w:color="auto" w:sz="6" w:space="0"/>
              <w:left w:val="single" w:color="auto" w:sz="6" w:space="0"/>
              <w:bottom w:val="single" w:color="auto" w:sz="12" w:space="0"/>
              <w:right w:val="single" w:color="auto" w:sz="6" w:space="0"/>
            </w:tcBorders>
          </w:tcPr>
          <w:p>
            <w:pPr>
              <w:pStyle w:val="21"/>
              <w:keepNext/>
              <w:spacing w:line="600" w:lineRule="exact"/>
              <w:ind w:left="63" w:right="63"/>
              <w:rPr>
                <w:rFonts w:ascii="宋体" w:hAnsi="宋体" w:cs="宋体"/>
                <w:szCs w:val="21"/>
              </w:rPr>
            </w:pPr>
          </w:p>
        </w:tc>
        <w:tc>
          <w:tcPr>
            <w:tcW w:w="916" w:type="dxa"/>
            <w:tcBorders>
              <w:top w:val="single" w:color="auto" w:sz="6" w:space="0"/>
              <w:left w:val="single" w:color="auto" w:sz="6" w:space="0"/>
              <w:bottom w:val="single" w:color="auto" w:sz="12" w:space="0"/>
              <w:right w:val="single" w:color="auto" w:sz="6" w:space="0"/>
            </w:tcBorders>
          </w:tcPr>
          <w:p>
            <w:pPr>
              <w:pStyle w:val="21"/>
              <w:keepNext/>
              <w:spacing w:line="600" w:lineRule="exact"/>
              <w:ind w:left="63" w:right="63"/>
              <w:rPr>
                <w:rFonts w:ascii="宋体" w:hAnsi="宋体" w:cs="宋体"/>
                <w:szCs w:val="21"/>
              </w:rPr>
            </w:pPr>
          </w:p>
        </w:tc>
        <w:tc>
          <w:tcPr>
            <w:tcW w:w="1352" w:type="dxa"/>
            <w:tcBorders>
              <w:top w:val="single" w:color="auto" w:sz="6" w:space="0"/>
              <w:left w:val="single" w:color="auto" w:sz="6" w:space="0"/>
              <w:bottom w:val="single" w:color="auto" w:sz="12" w:space="0"/>
              <w:right w:val="single" w:color="auto" w:sz="6" w:space="0"/>
            </w:tcBorders>
          </w:tcPr>
          <w:p>
            <w:pPr>
              <w:pStyle w:val="21"/>
              <w:keepNext/>
              <w:spacing w:line="600" w:lineRule="exact"/>
              <w:ind w:left="63" w:right="63"/>
              <w:rPr>
                <w:rFonts w:ascii="宋体" w:hAnsi="宋体" w:cs="宋体"/>
                <w:szCs w:val="21"/>
              </w:rPr>
            </w:pPr>
          </w:p>
        </w:tc>
        <w:tc>
          <w:tcPr>
            <w:tcW w:w="1418" w:type="dxa"/>
            <w:tcBorders>
              <w:top w:val="single" w:color="auto" w:sz="6" w:space="0"/>
              <w:left w:val="single" w:color="auto" w:sz="6" w:space="0"/>
              <w:bottom w:val="single" w:color="auto" w:sz="12" w:space="0"/>
              <w:right w:val="single" w:color="auto" w:sz="6" w:space="0"/>
            </w:tcBorders>
          </w:tcPr>
          <w:p>
            <w:pPr>
              <w:pStyle w:val="21"/>
              <w:keepNext/>
              <w:spacing w:line="600" w:lineRule="exact"/>
              <w:ind w:left="63" w:right="63"/>
              <w:rPr>
                <w:rFonts w:ascii="宋体" w:hAnsi="宋体" w:cs="宋体"/>
                <w:szCs w:val="21"/>
              </w:rPr>
            </w:pPr>
          </w:p>
        </w:tc>
        <w:tc>
          <w:tcPr>
            <w:tcW w:w="1417" w:type="dxa"/>
            <w:tcBorders>
              <w:top w:val="single" w:color="auto" w:sz="6" w:space="0"/>
              <w:left w:val="single" w:color="auto" w:sz="6" w:space="0"/>
              <w:bottom w:val="single" w:color="auto" w:sz="12" w:space="0"/>
              <w:right w:val="single" w:color="auto" w:sz="12" w:space="0"/>
            </w:tcBorders>
          </w:tcPr>
          <w:p>
            <w:pPr>
              <w:pStyle w:val="21"/>
              <w:keepNext/>
              <w:spacing w:line="600" w:lineRule="exact"/>
              <w:ind w:left="63" w:right="63"/>
              <w:rPr>
                <w:rFonts w:ascii="宋体" w:hAnsi="宋体" w:cs="宋体"/>
                <w:szCs w:val="21"/>
              </w:rPr>
            </w:pPr>
          </w:p>
        </w:tc>
      </w:tr>
    </w:tbl>
    <w:p>
      <w:pPr>
        <w:rPr>
          <w:rFonts w:ascii="宋体" w:hAnsi="宋体" w:cs="宋体"/>
          <w:b/>
          <w:sz w:val="28"/>
          <w:szCs w:val="28"/>
        </w:rPr>
      </w:pPr>
      <w:r>
        <w:rPr>
          <w:rFonts w:hint="eastAsia" w:ascii="宋体" w:hAnsi="宋体" w:cs="宋体"/>
          <w:b/>
          <w:sz w:val="28"/>
          <w:szCs w:val="28"/>
        </w:rPr>
        <w:br w:type="page"/>
      </w:r>
    </w:p>
    <w:p>
      <w:pPr>
        <w:tabs>
          <w:tab w:val="left" w:pos="432"/>
        </w:tabs>
        <w:spacing w:line="240" w:lineRule="auto"/>
        <w:jc w:val="center"/>
        <w:rPr>
          <w:rFonts w:ascii="宋体" w:hAnsi="宋体" w:cs="宋体"/>
          <w:b/>
          <w:sz w:val="28"/>
          <w:szCs w:val="28"/>
        </w:rPr>
      </w:pPr>
      <w:r>
        <w:rPr>
          <w:rFonts w:hint="eastAsia" w:ascii="宋体" w:hAnsi="宋体" w:cs="宋体"/>
          <w:b/>
          <w:sz w:val="28"/>
          <w:szCs w:val="28"/>
        </w:rPr>
        <w:t>10-3：专业工程暂估价表</w:t>
      </w:r>
    </w:p>
    <w:tbl>
      <w:tblPr>
        <w:tblStyle w:val="49"/>
        <w:tblpPr w:leftFromText="180" w:rightFromText="180" w:vertAnchor="text" w:horzAnchor="margin" w:tblpY="734"/>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79"/>
        <w:gridCol w:w="1984"/>
        <w:gridCol w:w="4678"/>
        <w:gridCol w:w="127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12" w:space="0"/>
              <w:left w:val="single" w:color="auto" w:sz="12" w:space="0"/>
              <w:bottom w:val="double" w:color="auto" w:sz="6" w:space="0"/>
              <w:right w:val="single" w:color="auto" w:sz="6" w:space="0"/>
            </w:tcBorders>
          </w:tcPr>
          <w:p>
            <w:pPr>
              <w:pStyle w:val="21"/>
              <w:keepNext/>
              <w:spacing w:line="240" w:lineRule="auto"/>
              <w:rPr>
                <w:rFonts w:ascii="宋体" w:hAnsi="宋体" w:cs="宋体"/>
                <w:szCs w:val="21"/>
              </w:rPr>
            </w:pPr>
            <w:bookmarkStart w:id="585" w:name="_Toc22950"/>
            <w:r>
              <w:rPr>
                <w:rFonts w:hint="eastAsia" w:ascii="宋体" w:hAnsi="宋体" w:cs="宋体"/>
                <w:szCs w:val="21"/>
              </w:rPr>
              <w:t>序号</w:t>
            </w:r>
          </w:p>
        </w:tc>
        <w:tc>
          <w:tcPr>
            <w:tcW w:w="1984" w:type="dxa"/>
            <w:tcBorders>
              <w:top w:val="single" w:color="auto" w:sz="12" w:space="0"/>
              <w:left w:val="single" w:color="auto" w:sz="6" w:space="0"/>
              <w:bottom w:val="double" w:color="auto" w:sz="6" w:space="0"/>
              <w:right w:val="single" w:color="auto" w:sz="6" w:space="0"/>
            </w:tcBorders>
          </w:tcPr>
          <w:p>
            <w:pPr>
              <w:pStyle w:val="21"/>
              <w:keepNext/>
              <w:spacing w:line="240" w:lineRule="auto"/>
              <w:rPr>
                <w:rFonts w:ascii="宋体" w:hAnsi="宋体" w:cs="宋体"/>
                <w:szCs w:val="21"/>
              </w:rPr>
            </w:pPr>
            <w:r>
              <w:rPr>
                <w:rFonts w:hint="eastAsia" w:ascii="宋体" w:hAnsi="宋体" w:cs="宋体"/>
                <w:szCs w:val="21"/>
              </w:rPr>
              <w:t>专业工程名称</w:t>
            </w:r>
          </w:p>
        </w:tc>
        <w:tc>
          <w:tcPr>
            <w:tcW w:w="4678" w:type="dxa"/>
            <w:tcBorders>
              <w:top w:val="single" w:color="auto" w:sz="12" w:space="0"/>
              <w:left w:val="single" w:color="auto" w:sz="6" w:space="0"/>
              <w:bottom w:val="double" w:color="auto" w:sz="6" w:space="0"/>
              <w:right w:val="single" w:color="auto" w:sz="6" w:space="0"/>
            </w:tcBorders>
          </w:tcPr>
          <w:p>
            <w:pPr>
              <w:pStyle w:val="21"/>
              <w:keepNext/>
              <w:spacing w:line="240" w:lineRule="auto"/>
              <w:rPr>
                <w:rFonts w:ascii="宋体" w:hAnsi="宋体" w:cs="宋体"/>
                <w:szCs w:val="21"/>
              </w:rPr>
            </w:pPr>
            <w:r>
              <w:rPr>
                <w:rFonts w:hint="eastAsia" w:ascii="宋体" w:hAnsi="宋体" w:cs="宋体"/>
                <w:szCs w:val="21"/>
              </w:rPr>
              <w:t>工程内容</w:t>
            </w:r>
          </w:p>
        </w:tc>
        <w:tc>
          <w:tcPr>
            <w:tcW w:w="1276" w:type="dxa"/>
            <w:tcBorders>
              <w:top w:val="single" w:color="auto" w:sz="12" w:space="0"/>
              <w:left w:val="single" w:color="auto" w:sz="6" w:space="0"/>
              <w:bottom w:val="double" w:color="auto" w:sz="6" w:space="0"/>
              <w:right w:val="single" w:color="auto" w:sz="12" w:space="0"/>
            </w:tcBorders>
          </w:tcPr>
          <w:p>
            <w:pPr>
              <w:pStyle w:val="21"/>
              <w:keepNext/>
              <w:spacing w:line="240" w:lineRule="auto"/>
              <w:rPr>
                <w:rFonts w:ascii="宋体" w:hAnsi="宋体" w:cs="宋体"/>
                <w:szCs w:val="21"/>
              </w:rPr>
            </w:pPr>
            <w:r>
              <w:rPr>
                <w:rFonts w:hint="eastAsia" w:ascii="宋体" w:hAnsi="宋体" w:cs="宋体"/>
                <w:szCs w:val="21"/>
              </w:rPr>
              <w:t>金额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double" w:color="auto" w:sz="6" w:space="0"/>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p>
        </w:tc>
        <w:tc>
          <w:tcPr>
            <w:tcW w:w="1984" w:type="dxa"/>
            <w:tcBorders>
              <w:top w:val="doub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4678" w:type="dxa"/>
            <w:tcBorders>
              <w:top w:val="doub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1276" w:type="dxa"/>
            <w:tcBorders>
              <w:top w:val="double" w:color="auto" w:sz="6" w:space="0"/>
              <w:left w:val="single" w:color="auto" w:sz="6" w:space="0"/>
              <w:bottom w:val="single" w:color="auto" w:sz="6" w:space="0"/>
              <w:right w:val="single" w:color="auto" w:sz="12" w:space="0"/>
            </w:tcBorders>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nil"/>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p>
        </w:tc>
        <w:tc>
          <w:tcPr>
            <w:tcW w:w="1984" w:type="dxa"/>
            <w:tcBorders>
              <w:top w:val="nil"/>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4678" w:type="dxa"/>
            <w:tcBorders>
              <w:top w:val="nil"/>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1276" w:type="dxa"/>
            <w:tcBorders>
              <w:top w:val="nil"/>
              <w:left w:val="single" w:color="auto" w:sz="6" w:space="0"/>
              <w:bottom w:val="single" w:color="auto" w:sz="6" w:space="0"/>
              <w:right w:val="single" w:color="auto" w:sz="12" w:space="0"/>
            </w:tcBorders>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nil"/>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p>
        </w:tc>
        <w:tc>
          <w:tcPr>
            <w:tcW w:w="1984" w:type="dxa"/>
            <w:tcBorders>
              <w:top w:val="nil"/>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4678" w:type="dxa"/>
            <w:tcBorders>
              <w:top w:val="nil"/>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1276" w:type="dxa"/>
            <w:tcBorders>
              <w:top w:val="nil"/>
              <w:left w:val="single" w:color="auto" w:sz="6" w:space="0"/>
              <w:bottom w:val="single" w:color="auto" w:sz="6" w:space="0"/>
              <w:right w:val="single" w:color="auto" w:sz="12" w:space="0"/>
            </w:tcBorders>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4678"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12" w:space="0"/>
            </w:tcBorders>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4678"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12" w:space="0"/>
            </w:tcBorders>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4678"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12" w:space="0"/>
            </w:tcBorders>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4678"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12" w:space="0"/>
            </w:tcBorders>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4678"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12" w:space="0"/>
            </w:tcBorders>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4678"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12" w:space="0"/>
            </w:tcBorders>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4678"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12" w:space="0"/>
            </w:tcBorders>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4678"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12" w:space="0"/>
            </w:tcBorders>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4678"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12" w:space="0"/>
            </w:tcBorders>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4678"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12" w:space="0"/>
            </w:tcBorders>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4678"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12" w:space="0"/>
            </w:tcBorders>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4678"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12" w:space="0"/>
            </w:tcBorders>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6" w:space="0"/>
              <w:left w:val="single" w:color="auto" w:sz="12" w:space="0"/>
              <w:bottom w:val="single" w:color="auto" w:sz="6" w:space="0"/>
              <w:right w:val="single" w:color="auto" w:sz="6" w:space="0"/>
            </w:tcBorders>
          </w:tcPr>
          <w:p>
            <w:pPr>
              <w:pStyle w:val="21"/>
              <w:keepNext/>
              <w:spacing w:line="240" w:lineRule="auto"/>
              <w:rPr>
                <w:rFonts w:ascii="宋体" w:hAnsi="宋体" w:cs="宋体"/>
                <w:szCs w:val="21"/>
              </w:rPr>
            </w:pPr>
          </w:p>
        </w:tc>
        <w:tc>
          <w:tcPr>
            <w:tcW w:w="1984"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4678" w:type="dxa"/>
            <w:tcBorders>
              <w:top w:val="single" w:color="auto" w:sz="6" w:space="0"/>
              <w:left w:val="single" w:color="auto" w:sz="6" w:space="0"/>
              <w:bottom w:val="single" w:color="auto" w:sz="6" w:space="0"/>
              <w:right w:val="single" w:color="auto" w:sz="6" w:space="0"/>
            </w:tcBorders>
          </w:tcPr>
          <w:p>
            <w:pPr>
              <w:pStyle w:val="21"/>
              <w:keepNext/>
              <w:spacing w:line="240" w:lineRule="auto"/>
              <w:rPr>
                <w:rFonts w:ascii="宋体" w:hAnsi="宋体" w:cs="宋体"/>
                <w:szCs w:val="21"/>
              </w:rPr>
            </w:pPr>
          </w:p>
        </w:tc>
        <w:tc>
          <w:tcPr>
            <w:tcW w:w="1276" w:type="dxa"/>
            <w:tcBorders>
              <w:top w:val="single" w:color="auto" w:sz="6" w:space="0"/>
              <w:left w:val="single" w:color="auto" w:sz="6" w:space="0"/>
              <w:bottom w:val="single" w:color="auto" w:sz="6" w:space="0"/>
              <w:right w:val="single" w:color="auto" w:sz="12" w:space="0"/>
            </w:tcBorders>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817" w:type="dxa"/>
            <w:gridSpan w:val="4"/>
            <w:tcBorders>
              <w:top w:val="single" w:color="auto" w:sz="6" w:space="0"/>
              <w:left w:val="single" w:color="auto" w:sz="12" w:space="0"/>
              <w:bottom w:val="single" w:color="auto" w:sz="12" w:space="0"/>
              <w:right w:val="single" w:color="auto" w:sz="12" w:space="0"/>
            </w:tcBorders>
          </w:tcPr>
          <w:p>
            <w:pPr>
              <w:pStyle w:val="21"/>
              <w:keepNext/>
              <w:spacing w:line="240" w:lineRule="auto"/>
              <w:rPr>
                <w:rFonts w:ascii="宋体" w:hAnsi="宋体" w:cs="宋体"/>
                <w:szCs w:val="21"/>
              </w:rPr>
            </w:pPr>
            <w:r>
              <w:rPr>
                <w:rFonts w:hint="eastAsia" w:ascii="宋体" w:hAnsi="宋体" w:cs="宋体"/>
                <w:szCs w:val="21"/>
              </w:rPr>
              <w:t>小计：</w:t>
            </w:r>
          </w:p>
        </w:tc>
      </w:tr>
      <w:bookmarkEnd w:id="585"/>
    </w:tbl>
    <w:p>
      <w:pPr>
        <w:rPr>
          <w:rFonts w:ascii="宋体" w:hAnsi="宋体" w:cs="宋体"/>
        </w:rPr>
      </w:pPr>
    </w:p>
    <w:p>
      <w:pPr>
        <w:tabs>
          <w:tab w:val="left" w:pos="5832"/>
        </w:tabs>
        <w:jc w:val="left"/>
        <w:rPr>
          <w:rFonts w:ascii="宋体" w:hAnsi="宋体" w:cs="宋体"/>
        </w:rPr>
        <w:sectPr>
          <w:pgSz w:w="11906" w:h="16838"/>
          <w:pgMar w:top="1134" w:right="1474" w:bottom="1134" w:left="1588" w:header="851" w:footer="850" w:gutter="0"/>
          <w:cols w:space="720" w:num="1"/>
          <w:docGrid w:type="linesAndChars" w:linePitch="579" w:charSpace="-3629"/>
        </w:sectPr>
      </w:pPr>
      <w:r>
        <w:rPr>
          <w:rFonts w:hint="eastAsia" w:ascii="宋体" w:hAnsi="宋体" w:cs="宋体"/>
        </w:rPr>
        <w:tab/>
      </w:r>
    </w:p>
    <w:p>
      <w:pPr>
        <w:tabs>
          <w:tab w:val="left" w:pos="432"/>
        </w:tabs>
        <w:rPr>
          <w:rFonts w:ascii="宋体" w:hAnsi="宋体" w:cs="宋体"/>
          <w:b/>
        </w:rPr>
      </w:pPr>
      <w:bookmarkStart w:id="586" w:name="_Toc25380"/>
      <w:r>
        <w:rPr>
          <w:rFonts w:hint="eastAsia" w:ascii="宋体" w:hAnsi="宋体" w:cs="宋体"/>
          <w:b/>
        </w:rPr>
        <w:t>附件11：</w:t>
      </w:r>
      <w:bookmarkEnd w:id="586"/>
    </w:p>
    <w:p>
      <w:pPr>
        <w:tabs>
          <w:tab w:val="left" w:pos="432"/>
        </w:tabs>
        <w:spacing w:line="240" w:lineRule="auto"/>
        <w:jc w:val="center"/>
        <w:rPr>
          <w:rFonts w:ascii="宋体" w:hAnsi="宋体" w:cs="宋体"/>
          <w:b/>
          <w:sz w:val="28"/>
          <w:szCs w:val="28"/>
        </w:rPr>
      </w:pPr>
      <w:bookmarkStart w:id="587" w:name="_Toc9930"/>
      <w:r>
        <w:rPr>
          <w:rFonts w:hint="eastAsia" w:ascii="宋体" w:hAnsi="宋体" w:cs="宋体"/>
          <w:b/>
          <w:sz w:val="28"/>
          <w:szCs w:val="28"/>
        </w:rPr>
        <w:t>承包人承揽工程项目一览表</w:t>
      </w:r>
      <w:bookmarkEnd w:id="587"/>
    </w:p>
    <w:tbl>
      <w:tblPr>
        <w:tblStyle w:val="49"/>
        <w:tblW w:w="0" w:type="auto"/>
        <w:tblInd w:w="-39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277"/>
        <w:gridCol w:w="1843"/>
        <w:gridCol w:w="1417"/>
        <w:gridCol w:w="2410"/>
        <w:gridCol w:w="850"/>
        <w:gridCol w:w="1560"/>
        <w:gridCol w:w="2126"/>
        <w:gridCol w:w="1417"/>
        <w:gridCol w:w="851"/>
        <w:gridCol w:w="85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1277" w:type="dxa"/>
            <w:tcBorders>
              <w:top w:val="single" w:color="auto" w:sz="12" w:space="0"/>
              <w:left w:val="single" w:color="auto" w:sz="12"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单位工程名称</w:t>
            </w:r>
          </w:p>
        </w:tc>
        <w:tc>
          <w:tcPr>
            <w:tcW w:w="1843"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建设规模</w:t>
            </w:r>
          </w:p>
        </w:tc>
        <w:tc>
          <w:tcPr>
            <w:tcW w:w="1417"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建筑面积(平方米)</w:t>
            </w:r>
          </w:p>
        </w:tc>
        <w:tc>
          <w:tcPr>
            <w:tcW w:w="2410"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结构形式</w:t>
            </w:r>
          </w:p>
        </w:tc>
        <w:tc>
          <w:tcPr>
            <w:tcW w:w="850"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层数</w:t>
            </w:r>
          </w:p>
        </w:tc>
        <w:tc>
          <w:tcPr>
            <w:tcW w:w="1560"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生产能力</w:t>
            </w:r>
          </w:p>
        </w:tc>
        <w:tc>
          <w:tcPr>
            <w:tcW w:w="2126"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设备安装内容</w:t>
            </w:r>
          </w:p>
        </w:tc>
        <w:tc>
          <w:tcPr>
            <w:tcW w:w="1417"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合同价格（元）</w:t>
            </w:r>
          </w:p>
        </w:tc>
        <w:tc>
          <w:tcPr>
            <w:tcW w:w="851" w:type="dxa"/>
            <w:tcBorders>
              <w:top w:val="single" w:color="auto" w:sz="12" w:space="0"/>
              <w:left w:val="single" w:color="auto" w:sz="6" w:space="0"/>
              <w:bottom w:val="double" w:color="auto" w:sz="6" w:space="0"/>
              <w:right w:val="single" w:color="auto" w:sz="6" w:space="0"/>
            </w:tcBorders>
            <w:vAlign w:val="center"/>
          </w:tcPr>
          <w:p>
            <w:pPr>
              <w:pStyle w:val="21"/>
              <w:keepNext/>
              <w:spacing w:line="240" w:lineRule="auto"/>
              <w:rPr>
                <w:rFonts w:ascii="宋体" w:hAnsi="宋体" w:cs="宋体"/>
                <w:szCs w:val="21"/>
              </w:rPr>
            </w:pPr>
            <w:r>
              <w:rPr>
                <w:rFonts w:hint="eastAsia" w:ascii="宋体" w:hAnsi="宋体" w:cs="宋体"/>
                <w:szCs w:val="21"/>
              </w:rPr>
              <w:t>开工日期</w:t>
            </w:r>
          </w:p>
        </w:tc>
        <w:tc>
          <w:tcPr>
            <w:tcW w:w="850" w:type="dxa"/>
            <w:tcBorders>
              <w:top w:val="single" w:color="auto" w:sz="12" w:space="0"/>
              <w:left w:val="single" w:color="auto" w:sz="6" w:space="0"/>
              <w:bottom w:val="double" w:color="auto" w:sz="6" w:space="0"/>
              <w:right w:val="single" w:color="auto" w:sz="12" w:space="0"/>
            </w:tcBorders>
            <w:vAlign w:val="center"/>
          </w:tcPr>
          <w:p>
            <w:pPr>
              <w:pStyle w:val="21"/>
              <w:keepNext/>
              <w:spacing w:line="240" w:lineRule="auto"/>
              <w:rPr>
                <w:rFonts w:ascii="宋体" w:hAnsi="宋体" w:cs="宋体"/>
                <w:szCs w:val="21"/>
              </w:rPr>
            </w:pPr>
            <w:r>
              <w:rPr>
                <w:rFonts w:hint="eastAsia" w:ascii="宋体" w:hAnsi="宋体" w:cs="宋体"/>
                <w:szCs w:val="21"/>
              </w:rPr>
              <w:t>竣工日期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doub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843"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7"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410"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0"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560"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126"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7"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1" w:type="dxa"/>
            <w:tcBorders>
              <w:top w:val="doub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0" w:type="dxa"/>
            <w:tcBorders>
              <w:top w:val="doub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nil"/>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843"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7"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410"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0"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560"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126"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7"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1"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0" w:type="dxa"/>
            <w:tcBorders>
              <w:top w:val="nil"/>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nil"/>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843"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7"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410"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0"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560"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126"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7"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1"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0" w:type="dxa"/>
            <w:tcBorders>
              <w:top w:val="nil"/>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84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7"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41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56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12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7"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1"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0"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nil"/>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843"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7"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410"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0"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560"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126"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7"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1"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0" w:type="dxa"/>
            <w:tcBorders>
              <w:top w:val="nil"/>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single" w:color="auto" w:sz="6" w:space="0"/>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843"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7"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41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560"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126"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7"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1" w:type="dxa"/>
            <w:tcBorders>
              <w:top w:val="single" w:color="auto" w:sz="6" w:space="0"/>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0" w:type="dxa"/>
            <w:tcBorders>
              <w:top w:val="single" w:color="auto" w:sz="6" w:space="0"/>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nil"/>
              <w:left w:val="single" w:color="auto" w:sz="12"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843"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7"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410"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0"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560"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2126"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1417"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1" w:type="dxa"/>
            <w:tcBorders>
              <w:top w:val="nil"/>
              <w:left w:val="single" w:color="auto" w:sz="6" w:space="0"/>
              <w:bottom w:val="single" w:color="auto" w:sz="6" w:space="0"/>
              <w:right w:val="single" w:color="auto" w:sz="6" w:space="0"/>
            </w:tcBorders>
            <w:vAlign w:val="center"/>
          </w:tcPr>
          <w:p>
            <w:pPr>
              <w:pStyle w:val="21"/>
              <w:keepNext/>
              <w:spacing w:line="240" w:lineRule="auto"/>
              <w:rPr>
                <w:rFonts w:ascii="宋体" w:hAnsi="宋体" w:cs="宋体"/>
                <w:szCs w:val="21"/>
              </w:rPr>
            </w:pPr>
          </w:p>
        </w:tc>
        <w:tc>
          <w:tcPr>
            <w:tcW w:w="850" w:type="dxa"/>
            <w:tcBorders>
              <w:top w:val="nil"/>
              <w:left w:val="single" w:color="auto" w:sz="6" w:space="0"/>
              <w:bottom w:val="single" w:color="auto" w:sz="6" w:space="0"/>
              <w:right w:val="single" w:color="auto" w:sz="12" w:space="0"/>
            </w:tcBorders>
            <w:vAlign w:val="center"/>
          </w:tcPr>
          <w:p>
            <w:pPr>
              <w:pStyle w:val="21"/>
              <w:keepNext/>
              <w:spacing w:line="240" w:lineRule="auto"/>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nil"/>
              <w:left w:val="single" w:color="auto" w:sz="12" w:space="0"/>
              <w:bottom w:val="single" w:color="auto" w:sz="12" w:space="0"/>
              <w:right w:val="single" w:color="auto" w:sz="6" w:space="0"/>
            </w:tcBorders>
            <w:vAlign w:val="center"/>
          </w:tcPr>
          <w:p>
            <w:pPr>
              <w:pStyle w:val="21"/>
              <w:keepNext/>
              <w:spacing w:line="240" w:lineRule="auto"/>
              <w:rPr>
                <w:rFonts w:ascii="宋体" w:hAnsi="宋体" w:cs="宋体"/>
                <w:szCs w:val="21"/>
              </w:rPr>
            </w:pPr>
          </w:p>
        </w:tc>
        <w:tc>
          <w:tcPr>
            <w:tcW w:w="1843" w:type="dxa"/>
            <w:tcBorders>
              <w:top w:val="nil"/>
              <w:left w:val="single" w:color="auto" w:sz="6" w:space="0"/>
              <w:bottom w:val="single" w:color="auto" w:sz="12" w:space="0"/>
              <w:right w:val="single" w:color="auto" w:sz="6" w:space="0"/>
            </w:tcBorders>
            <w:vAlign w:val="center"/>
          </w:tcPr>
          <w:p>
            <w:pPr>
              <w:pStyle w:val="21"/>
              <w:keepNext/>
              <w:spacing w:line="240" w:lineRule="auto"/>
              <w:rPr>
                <w:rFonts w:ascii="宋体" w:hAnsi="宋体" w:cs="宋体"/>
                <w:szCs w:val="21"/>
              </w:rPr>
            </w:pPr>
          </w:p>
        </w:tc>
        <w:tc>
          <w:tcPr>
            <w:tcW w:w="1417" w:type="dxa"/>
            <w:tcBorders>
              <w:top w:val="nil"/>
              <w:left w:val="single" w:color="auto" w:sz="6" w:space="0"/>
              <w:bottom w:val="single" w:color="auto" w:sz="12" w:space="0"/>
              <w:right w:val="single" w:color="auto" w:sz="6" w:space="0"/>
            </w:tcBorders>
            <w:vAlign w:val="center"/>
          </w:tcPr>
          <w:p>
            <w:pPr>
              <w:pStyle w:val="21"/>
              <w:keepNext/>
              <w:spacing w:line="240" w:lineRule="auto"/>
              <w:rPr>
                <w:rFonts w:ascii="宋体" w:hAnsi="宋体" w:cs="宋体"/>
                <w:szCs w:val="21"/>
              </w:rPr>
            </w:pPr>
          </w:p>
        </w:tc>
        <w:tc>
          <w:tcPr>
            <w:tcW w:w="2410" w:type="dxa"/>
            <w:tcBorders>
              <w:top w:val="nil"/>
              <w:left w:val="single" w:color="auto" w:sz="6" w:space="0"/>
              <w:bottom w:val="single" w:color="auto" w:sz="12" w:space="0"/>
              <w:right w:val="single" w:color="auto" w:sz="6" w:space="0"/>
            </w:tcBorders>
            <w:vAlign w:val="center"/>
          </w:tcPr>
          <w:p>
            <w:pPr>
              <w:pStyle w:val="21"/>
              <w:keepNext/>
              <w:spacing w:line="240" w:lineRule="auto"/>
              <w:rPr>
                <w:rFonts w:ascii="宋体" w:hAnsi="宋体" w:cs="宋体"/>
                <w:szCs w:val="21"/>
              </w:rPr>
            </w:pPr>
          </w:p>
        </w:tc>
        <w:tc>
          <w:tcPr>
            <w:tcW w:w="850" w:type="dxa"/>
            <w:tcBorders>
              <w:top w:val="nil"/>
              <w:left w:val="single" w:color="auto" w:sz="6" w:space="0"/>
              <w:bottom w:val="single" w:color="auto" w:sz="12" w:space="0"/>
              <w:right w:val="single" w:color="auto" w:sz="6" w:space="0"/>
            </w:tcBorders>
            <w:vAlign w:val="center"/>
          </w:tcPr>
          <w:p>
            <w:pPr>
              <w:pStyle w:val="21"/>
              <w:keepNext/>
              <w:spacing w:line="240" w:lineRule="auto"/>
              <w:rPr>
                <w:rFonts w:ascii="宋体" w:hAnsi="宋体" w:cs="宋体"/>
                <w:szCs w:val="21"/>
              </w:rPr>
            </w:pPr>
          </w:p>
        </w:tc>
        <w:tc>
          <w:tcPr>
            <w:tcW w:w="1560" w:type="dxa"/>
            <w:tcBorders>
              <w:top w:val="nil"/>
              <w:left w:val="single" w:color="auto" w:sz="6" w:space="0"/>
              <w:bottom w:val="single" w:color="auto" w:sz="12" w:space="0"/>
              <w:right w:val="single" w:color="auto" w:sz="6" w:space="0"/>
            </w:tcBorders>
            <w:vAlign w:val="center"/>
          </w:tcPr>
          <w:p>
            <w:pPr>
              <w:pStyle w:val="21"/>
              <w:keepNext/>
              <w:spacing w:line="240" w:lineRule="auto"/>
              <w:rPr>
                <w:rFonts w:ascii="宋体" w:hAnsi="宋体" w:cs="宋体"/>
                <w:szCs w:val="21"/>
              </w:rPr>
            </w:pPr>
          </w:p>
        </w:tc>
        <w:tc>
          <w:tcPr>
            <w:tcW w:w="2126" w:type="dxa"/>
            <w:tcBorders>
              <w:top w:val="nil"/>
              <w:left w:val="single" w:color="auto" w:sz="6" w:space="0"/>
              <w:bottom w:val="single" w:color="auto" w:sz="12" w:space="0"/>
              <w:right w:val="single" w:color="auto" w:sz="6" w:space="0"/>
            </w:tcBorders>
            <w:vAlign w:val="center"/>
          </w:tcPr>
          <w:p>
            <w:pPr>
              <w:pStyle w:val="21"/>
              <w:keepNext/>
              <w:spacing w:line="240" w:lineRule="auto"/>
              <w:rPr>
                <w:rFonts w:ascii="宋体" w:hAnsi="宋体" w:cs="宋体"/>
                <w:szCs w:val="21"/>
              </w:rPr>
            </w:pPr>
          </w:p>
        </w:tc>
        <w:tc>
          <w:tcPr>
            <w:tcW w:w="1417" w:type="dxa"/>
            <w:tcBorders>
              <w:top w:val="nil"/>
              <w:left w:val="single" w:color="auto" w:sz="6" w:space="0"/>
              <w:bottom w:val="single" w:color="auto" w:sz="12" w:space="0"/>
              <w:right w:val="single" w:color="auto" w:sz="6" w:space="0"/>
            </w:tcBorders>
            <w:vAlign w:val="center"/>
          </w:tcPr>
          <w:p>
            <w:pPr>
              <w:pStyle w:val="21"/>
              <w:keepNext/>
              <w:spacing w:line="240" w:lineRule="auto"/>
              <w:rPr>
                <w:rFonts w:ascii="宋体" w:hAnsi="宋体" w:cs="宋体"/>
                <w:szCs w:val="21"/>
              </w:rPr>
            </w:pPr>
          </w:p>
        </w:tc>
        <w:tc>
          <w:tcPr>
            <w:tcW w:w="851" w:type="dxa"/>
            <w:tcBorders>
              <w:top w:val="nil"/>
              <w:left w:val="single" w:color="auto" w:sz="6" w:space="0"/>
              <w:bottom w:val="single" w:color="auto" w:sz="12" w:space="0"/>
              <w:right w:val="single" w:color="auto" w:sz="6" w:space="0"/>
            </w:tcBorders>
            <w:vAlign w:val="center"/>
          </w:tcPr>
          <w:p>
            <w:pPr>
              <w:pStyle w:val="21"/>
              <w:keepNext/>
              <w:spacing w:line="240" w:lineRule="auto"/>
              <w:rPr>
                <w:rFonts w:ascii="宋体" w:hAnsi="宋体" w:cs="宋体"/>
                <w:szCs w:val="21"/>
              </w:rPr>
            </w:pPr>
          </w:p>
        </w:tc>
        <w:tc>
          <w:tcPr>
            <w:tcW w:w="850" w:type="dxa"/>
            <w:tcBorders>
              <w:top w:val="nil"/>
              <w:left w:val="single" w:color="auto" w:sz="6" w:space="0"/>
              <w:bottom w:val="single" w:color="auto" w:sz="12" w:space="0"/>
              <w:right w:val="single" w:color="auto" w:sz="12" w:space="0"/>
            </w:tcBorders>
            <w:vAlign w:val="center"/>
          </w:tcPr>
          <w:p>
            <w:pPr>
              <w:pStyle w:val="21"/>
              <w:keepNext/>
              <w:spacing w:line="240" w:lineRule="auto"/>
              <w:rPr>
                <w:rFonts w:ascii="宋体" w:hAnsi="宋体" w:cs="宋体"/>
                <w:szCs w:val="21"/>
              </w:rPr>
            </w:pPr>
          </w:p>
        </w:tc>
      </w:tr>
    </w:tbl>
    <w:p>
      <w:pPr>
        <w:rPr>
          <w:rFonts w:ascii="宋体" w:hAnsi="宋体" w:cs="宋体"/>
        </w:rPr>
        <w:sectPr>
          <w:pgSz w:w="16838" w:h="11906" w:orient="landscape"/>
          <w:pgMar w:top="1803" w:right="1440" w:bottom="1803" w:left="1440" w:header="851" w:footer="850" w:gutter="0"/>
          <w:cols w:space="0" w:num="1"/>
          <w:docGrid w:type="lines" w:linePitch="319" w:charSpace="0"/>
        </w:sectPr>
      </w:pPr>
    </w:p>
    <w:p>
      <w:pPr>
        <w:pStyle w:val="21"/>
        <w:jc w:val="center"/>
        <w:rPr>
          <w:rFonts w:ascii="宋体" w:hAnsi="宋体"/>
        </w:rPr>
      </w:pPr>
      <w:bookmarkStart w:id="588" w:name="_Toc103216638"/>
      <w:bookmarkStart w:id="589" w:name="_Toc104040701"/>
      <w:bookmarkStart w:id="590" w:name="_Toc114516598"/>
      <w:r>
        <w:rPr>
          <w:rFonts w:hint="eastAsia" w:ascii="宋体" w:hAnsi="宋体"/>
          <w:b/>
          <w:bCs/>
          <w:kern w:val="44"/>
          <w:sz w:val="28"/>
          <w:szCs w:val="44"/>
        </w:rPr>
        <w:t>第六章 响应文件格式</w:t>
      </w:r>
      <w:bookmarkEnd w:id="76"/>
      <w:bookmarkEnd w:id="77"/>
      <w:bookmarkEnd w:id="78"/>
      <w:bookmarkEnd w:id="79"/>
      <w:bookmarkEnd w:id="80"/>
      <w:bookmarkEnd w:id="81"/>
      <w:r>
        <w:rPr>
          <w:rFonts w:hint="eastAsia" w:ascii="宋体" w:hAnsi="宋体"/>
          <w:b/>
          <w:bCs/>
          <w:kern w:val="44"/>
          <w:sz w:val="28"/>
          <w:szCs w:val="44"/>
        </w:rPr>
        <w:t>与要求</w:t>
      </w:r>
      <w:bookmarkEnd w:id="588"/>
      <w:bookmarkEnd w:id="589"/>
      <w:bookmarkEnd w:id="590"/>
    </w:p>
    <w:p>
      <w:pPr>
        <w:pStyle w:val="21"/>
        <w:ind w:firstLine="420" w:firstLineChars="200"/>
        <w:rPr>
          <w:rFonts w:ascii="宋体" w:hAnsi="宋体"/>
          <w:szCs w:val="20"/>
        </w:rPr>
      </w:pPr>
      <w:r>
        <w:rPr>
          <w:rFonts w:hint="eastAsia" w:ascii="宋体" w:hAnsi="宋体"/>
          <w:szCs w:val="20"/>
        </w:rPr>
        <w:t>供应商应提交证明其有资格参加磋商和成交后有能力履行合同的相关文件，并作为其响应文件的一部分，所有文件必须真实可靠、不得伪造，否则将按相关规定予以处罚。</w:t>
      </w:r>
    </w:p>
    <w:p>
      <w:pPr>
        <w:pStyle w:val="21"/>
        <w:ind w:firstLine="420" w:firstLineChars="200"/>
        <w:rPr>
          <w:rFonts w:ascii="宋体" w:hAnsi="宋体"/>
          <w:szCs w:val="20"/>
        </w:rPr>
      </w:pPr>
      <w:r>
        <w:rPr>
          <w:rFonts w:hint="eastAsia" w:ascii="宋体" w:hAnsi="宋体"/>
          <w:szCs w:val="20"/>
        </w:rPr>
        <w:t>1.法人或者其他组织的营业执照等证明文件，自然人的身份证明：</w:t>
      </w:r>
    </w:p>
    <w:p>
      <w:pPr>
        <w:pStyle w:val="21"/>
        <w:ind w:firstLine="420" w:firstLineChars="200"/>
        <w:rPr>
          <w:rFonts w:ascii="宋体" w:hAnsi="宋体"/>
          <w:szCs w:val="20"/>
        </w:rPr>
      </w:pPr>
      <w:r>
        <w:rPr>
          <w:rFonts w:hint="eastAsia" w:ascii="宋体" w:hAnsi="宋体"/>
          <w:szCs w:val="20"/>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 务所要提供执业许可证等证明文件；如供应商是个体工商户，要提供有效的“个体工商户营业执照”；如供应商是自然人，要提供有效的自然人身份证明。</w:t>
      </w:r>
    </w:p>
    <w:p>
      <w:pPr>
        <w:pStyle w:val="21"/>
        <w:ind w:firstLine="420" w:firstLineChars="200"/>
        <w:rPr>
          <w:rFonts w:ascii="宋体" w:hAnsi="宋体"/>
          <w:szCs w:val="20"/>
        </w:rPr>
      </w:pPr>
      <w:r>
        <w:rPr>
          <w:rFonts w:hint="eastAsia" w:ascii="宋体" w:hAnsi="宋体"/>
          <w:szCs w:val="20"/>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采购活动”。</w:t>
      </w:r>
    </w:p>
    <w:p>
      <w:pPr>
        <w:pStyle w:val="21"/>
        <w:ind w:firstLine="420" w:firstLineChars="200"/>
        <w:rPr>
          <w:rFonts w:ascii="宋体" w:hAnsi="宋体"/>
          <w:szCs w:val="20"/>
        </w:rPr>
      </w:pPr>
      <w:r>
        <w:rPr>
          <w:rFonts w:hint="eastAsia" w:ascii="宋体" w:hAnsi="宋体"/>
          <w:szCs w:val="20"/>
        </w:rPr>
        <w:t>2.财务状况报告，依法缴纳税收和社会保障资金的相关材料（详见资格性审查表要求）</w:t>
      </w:r>
    </w:p>
    <w:p>
      <w:pPr>
        <w:pStyle w:val="21"/>
        <w:ind w:firstLine="420" w:firstLineChars="200"/>
        <w:rPr>
          <w:rFonts w:ascii="宋体" w:hAnsi="宋体"/>
          <w:szCs w:val="20"/>
        </w:rPr>
      </w:pPr>
      <w:r>
        <w:rPr>
          <w:rFonts w:hint="eastAsia" w:ascii="宋体" w:hAnsi="宋体"/>
          <w:szCs w:val="20"/>
        </w:rPr>
        <w:t>3.具有履行合同所必需的设备和专业技术能力的声明。</w:t>
      </w:r>
    </w:p>
    <w:p>
      <w:pPr>
        <w:pStyle w:val="21"/>
        <w:ind w:firstLine="420" w:firstLineChars="200"/>
        <w:rPr>
          <w:rFonts w:ascii="宋体" w:hAnsi="宋体"/>
          <w:szCs w:val="20"/>
        </w:rPr>
      </w:pPr>
      <w:r>
        <w:rPr>
          <w:rFonts w:hint="eastAsia" w:ascii="宋体" w:hAnsi="宋体"/>
          <w:szCs w:val="20"/>
        </w:rPr>
        <w:t>4.供应商参加政府采购前三年内在经营活动中没有重大违法记录声明函。</w:t>
      </w:r>
    </w:p>
    <w:p>
      <w:pPr>
        <w:pStyle w:val="21"/>
        <w:ind w:firstLine="420" w:firstLineChars="200"/>
        <w:rPr>
          <w:rFonts w:ascii="宋体" w:hAnsi="宋体"/>
          <w:szCs w:val="20"/>
        </w:rPr>
      </w:pPr>
      <w:r>
        <w:rPr>
          <w:rFonts w:hint="eastAsia" w:ascii="宋体" w:hAnsi="宋体"/>
          <w:szCs w:val="20"/>
        </w:rPr>
        <w:t>5.信用记录查询</w:t>
      </w:r>
    </w:p>
    <w:p>
      <w:pPr>
        <w:pStyle w:val="21"/>
        <w:ind w:firstLine="420" w:firstLineChars="200"/>
        <w:rPr>
          <w:rFonts w:ascii="宋体" w:hAnsi="宋体"/>
          <w:szCs w:val="20"/>
        </w:rPr>
      </w:pPr>
      <w:r>
        <w:rPr>
          <w:rFonts w:hint="eastAsia" w:ascii="宋体" w:hAnsi="宋体"/>
          <w:szCs w:val="20"/>
        </w:rPr>
        <w:t>（1）查询渠道：通过“信用中国”网站(www.creditchina.gov.cn)和“中国政府采购网”（www.ccgp.gov.cn）进行查询，具体以采购公告要求为准；</w:t>
      </w:r>
    </w:p>
    <w:p>
      <w:pPr>
        <w:pStyle w:val="21"/>
        <w:ind w:firstLine="420" w:firstLineChars="200"/>
        <w:rPr>
          <w:rFonts w:ascii="宋体" w:hAnsi="宋体"/>
          <w:szCs w:val="20"/>
        </w:rPr>
      </w:pPr>
      <w:r>
        <w:rPr>
          <w:rFonts w:hint="eastAsia" w:ascii="宋体" w:hAnsi="宋体"/>
          <w:szCs w:val="20"/>
        </w:rPr>
        <w:t>（2）查询截止时点：</w:t>
      </w:r>
      <w:bookmarkStart w:id="591" w:name="_Hlk112009834"/>
      <w:r>
        <w:rPr>
          <w:rFonts w:hint="eastAsia" w:ascii="宋体" w:hAnsi="宋体"/>
          <w:szCs w:val="20"/>
        </w:rPr>
        <w:t>提交响应文件截止日当天</w:t>
      </w:r>
      <w:bookmarkEnd w:id="591"/>
      <w:r>
        <w:rPr>
          <w:rFonts w:hint="eastAsia" w:ascii="宋体" w:hAnsi="宋体"/>
          <w:szCs w:val="20"/>
        </w:rPr>
        <w:t>；</w:t>
      </w:r>
    </w:p>
    <w:p>
      <w:pPr>
        <w:pStyle w:val="21"/>
        <w:ind w:firstLine="420" w:firstLineChars="200"/>
        <w:rPr>
          <w:rFonts w:ascii="宋体" w:hAnsi="宋体"/>
          <w:szCs w:val="20"/>
        </w:rPr>
      </w:pPr>
      <w:r>
        <w:rPr>
          <w:rFonts w:hint="eastAsia" w:ascii="宋体" w:hAnsi="宋体"/>
          <w:szCs w:val="20"/>
        </w:rPr>
        <w:t>（3）查询记录：对列入失信被执行人、重大税收违法案件当事人名单、政府采购严重违法失信行为记录名单、信用报告进行查询；</w:t>
      </w:r>
    </w:p>
    <w:p>
      <w:pPr>
        <w:pStyle w:val="21"/>
        <w:ind w:firstLine="420" w:firstLineChars="200"/>
        <w:rPr>
          <w:rFonts w:ascii="宋体" w:hAnsi="宋体"/>
          <w:szCs w:val="20"/>
        </w:rPr>
      </w:pPr>
      <w:r>
        <w:rPr>
          <w:rFonts w:hint="eastAsia" w:ascii="宋体" w:hAnsi="宋体"/>
          <w:szCs w:val="20"/>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21"/>
        <w:ind w:firstLine="420" w:firstLineChars="200"/>
        <w:rPr>
          <w:rFonts w:ascii="宋体" w:hAnsi="宋体"/>
          <w:szCs w:val="20"/>
        </w:rPr>
      </w:pPr>
      <w:r>
        <w:rPr>
          <w:rFonts w:hint="eastAsia" w:ascii="宋体" w:hAnsi="宋体"/>
          <w:szCs w:val="20"/>
        </w:rPr>
        <w:t>按照采购文件要求，供应商应当提交的资格、资信证明文件。</w:t>
      </w:r>
    </w:p>
    <w:p>
      <w:pPr>
        <w:pStyle w:val="21"/>
        <w:rPr>
          <w:rFonts w:ascii="宋体" w:hAnsi="宋体"/>
        </w:rPr>
      </w:pPr>
    </w:p>
    <w:p>
      <w:pPr>
        <w:rPr>
          <w:rFonts w:ascii="宋体" w:hAnsi="宋体"/>
          <w:b/>
          <w:bCs/>
          <w:sz w:val="32"/>
          <w:szCs w:val="40"/>
        </w:rPr>
      </w:pPr>
      <w:r>
        <w:rPr>
          <w:rFonts w:ascii="宋体" w:hAnsi="宋体"/>
          <w:b/>
          <w:bCs/>
          <w:sz w:val="32"/>
          <w:szCs w:val="40"/>
        </w:rPr>
        <w:br w:type="page"/>
      </w:r>
    </w:p>
    <w:p>
      <w:pPr>
        <w:jc w:val="center"/>
        <w:outlineLvl w:val="1"/>
        <w:rPr>
          <w:rFonts w:ascii="宋体" w:hAnsi="宋体"/>
          <w:b/>
          <w:bCs/>
          <w:sz w:val="32"/>
          <w:szCs w:val="40"/>
        </w:rPr>
      </w:pPr>
      <w:bookmarkStart w:id="592" w:name="_Hlk112010057"/>
      <w:r>
        <w:rPr>
          <w:rFonts w:hint="eastAsia" w:ascii="宋体" w:hAnsi="宋体"/>
          <w:b/>
          <w:bCs/>
          <w:sz w:val="32"/>
          <w:szCs w:val="40"/>
        </w:rPr>
        <w:t>响应文件封面（参考）</w:t>
      </w:r>
    </w:p>
    <w:p>
      <w:pPr>
        <w:pStyle w:val="21"/>
        <w:jc w:val="right"/>
        <w:rPr>
          <w:rFonts w:ascii="宋体" w:hAnsi="宋体"/>
          <w:b/>
          <w:bCs/>
          <w:sz w:val="44"/>
          <w:szCs w:val="40"/>
        </w:rPr>
      </w:pPr>
      <w:r>
        <w:rPr>
          <w:rFonts w:hint="eastAsia" w:ascii="宋体" w:hAnsi="宋体"/>
          <w:b/>
          <w:bCs/>
          <w:sz w:val="44"/>
          <w:szCs w:val="40"/>
        </w:rPr>
        <w:t>正本/副本</w:t>
      </w:r>
    </w:p>
    <w:p>
      <w:pPr>
        <w:pStyle w:val="21"/>
        <w:rPr>
          <w:rFonts w:ascii="宋体" w:hAnsi="宋体"/>
          <w:sz w:val="40"/>
          <w:szCs w:val="36"/>
        </w:rPr>
      </w:pPr>
    </w:p>
    <w:p>
      <w:pPr>
        <w:pStyle w:val="21"/>
        <w:jc w:val="center"/>
        <w:rPr>
          <w:rFonts w:ascii="宋体" w:hAnsi="宋体"/>
          <w:b/>
          <w:bCs/>
          <w:sz w:val="84"/>
          <w:szCs w:val="84"/>
        </w:rPr>
      </w:pPr>
      <w:r>
        <w:rPr>
          <w:rFonts w:hint="eastAsia" w:ascii="宋体" w:hAnsi="宋体"/>
          <w:b/>
          <w:bCs/>
          <w:sz w:val="84"/>
          <w:szCs w:val="84"/>
        </w:rPr>
        <w:t>响应文件</w:t>
      </w:r>
    </w:p>
    <w:p>
      <w:pPr>
        <w:pStyle w:val="21"/>
        <w:rPr>
          <w:rFonts w:ascii="宋体" w:hAnsi="宋体"/>
          <w:sz w:val="32"/>
          <w:szCs w:val="28"/>
        </w:rPr>
      </w:pPr>
    </w:p>
    <w:p>
      <w:pPr>
        <w:pStyle w:val="21"/>
        <w:ind w:firstLine="640" w:firstLineChars="200"/>
        <w:rPr>
          <w:rFonts w:ascii="宋体" w:hAnsi="宋体"/>
          <w:sz w:val="32"/>
          <w:szCs w:val="32"/>
        </w:rPr>
      </w:pPr>
      <w:r>
        <w:rPr>
          <w:rFonts w:hint="eastAsia" w:ascii="宋体" w:hAnsi="宋体"/>
          <w:sz w:val="32"/>
          <w:szCs w:val="32"/>
        </w:rPr>
        <w:t>项目编号：</w:t>
      </w:r>
    </w:p>
    <w:p>
      <w:pPr>
        <w:pStyle w:val="21"/>
        <w:ind w:firstLine="640" w:firstLineChars="200"/>
        <w:rPr>
          <w:rFonts w:ascii="宋体" w:hAnsi="宋体"/>
          <w:sz w:val="32"/>
          <w:szCs w:val="32"/>
        </w:rPr>
      </w:pPr>
      <w:r>
        <w:rPr>
          <w:rFonts w:hint="eastAsia" w:ascii="宋体" w:hAnsi="宋体"/>
          <w:sz w:val="32"/>
          <w:szCs w:val="32"/>
        </w:rPr>
        <w:t>项目名称：</w:t>
      </w:r>
    </w:p>
    <w:p>
      <w:pPr>
        <w:pStyle w:val="21"/>
        <w:ind w:firstLine="640" w:firstLineChars="200"/>
        <w:rPr>
          <w:rFonts w:ascii="宋体" w:hAnsi="宋体"/>
          <w:sz w:val="32"/>
          <w:szCs w:val="32"/>
        </w:rPr>
      </w:pPr>
    </w:p>
    <w:p>
      <w:pPr>
        <w:pStyle w:val="21"/>
        <w:ind w:firstLine="640" w:firstLineChars="200"/>
        <w:rPr>
          <w:rFonts w:ascii="宋体" w:hAnsi="宋体"/>
          <w:sz w:val="32"/>
          <w:szCs w:val="32"/>
        </w:rPr>
      </w:pPr>
      <w:r>
        <w:rPr>
          <w:rFonts w:hint="eastAsia" w:ascii="宋体" w:hAnsi="宋体"/>
          <w:sz w:val="32"/>
          <w:szCs w:val="32"/>
        </w:rPr>
        <w:t>供应商名称：</w:t>
      </w:r>
    </w:p>
    <w:p>
      <w:pPr>
        <w:pStyle w:val="21"/>
        <w:ind w:firstLine="640" w:firstLineChars="200"/>
        <w:rPr>
          <w:rFonts w:ascii="宋体" w:hAnsi="宋体"/>
          <w:sz w:val="32"/>
          <w:szCs w:val="32"/>
        </w:rPr>
      </w:pPr>
      <w:r>
        <w:rPr>
          <w:rFonts w:hint="eastAsia" w:ascii="宋体" w:hAnsi="宋体"/>
          <w:sz w:val="32"/>
          <w:szCs w:val="32"/>
        </w:rPr>
        <w:t>供应商地址：</w:t>
      </w:r>
    </w:p>
    <w:p>
      <w:pPr>
        <w:pStyle w:val="21"/>
        <w:ind w:firstLine="640" w:firstLineChars="200"/>
        <w:rPr>
          <w:rFonts w:ascii="宋体" w:hAnsi="宋体"/>
          <w:sz w:val="32"/>
          <w:szCs w:val="32"/>
        </w:rPr>
      </w:pPr>
      <w:r>
        <w:rPr>
          <w:rFonts w:hint="eastAsia" w:ascii="宋体" w:hAnsi="宋体"/>
          <w:sz w:val="32"/>
          <w:szCs w:val="32"/>
        </w:rPr>
        <w:t>供应商联系人及电话：</w:t>
      </w:r>
    </w:p>
    <w:p>
      <w:pPr>
        <w:pStyle w:val="21"/>
        <w:rPr>
          <w:rFonts w:ascii="宋体" w:hAnsi="宋体"/>
          <w:sz w:val="32"/>
          <w:szCs w:val="32"/>
        </w:rPr>
      </w:pPr>
    </w:p>
    <w:p>
      <w:pPr>
        <w:pStyle w:val="21"/>
        <w:rPr>
          <w:rFonts w:ascii="宋体" w:hAnsi="宋体"/>
          <w:sz w:val="32"/>
          <w:szCs w:val="32"/>
        </w:rPr>
      </w:pPr>
    </w:p>
    <w:p>
      <w:pPr>
        <w:pStyle w:val="21"/>
        <w:jc w:val="center"/>
        <w:rPr>
          <w:rFonts w:ascii="宋体" w:hAnsi="宋体"/>
          <w:sz w:val="32"/>
          <w:szCs w:val="32"/>
        </w:rPr>
      </w:pPr>
      <w:r>
        <w:rPr>
          <w:rFonts w:hint="eastAsia" w:ascii="宋体" w:hAnsi="宋体"/>
          <w:sz w:val="32"/>
          <w:szCs w:val="32"/>
        </w:rPr>
        <w:t>---于本项目响应文件提交截止时间之前不准启封---</w:t>
      </w:r>
    </w:p>
    <w:p>
      <w:pPr>
        <w:pStyle w:val="21"/>
        <w:rPr>
          <w:rFonts w:ascii="宋体" w:hAnsi="宋体"/>
          <w:sz w:val="32"/>
          <w:szCs w:val="32"/>
        </w:rPr>
      </w:pPr>
    </w:p>
    <w:p>
      <w:pPr>
        <w:pStyle w:val="21"/>
        <w:jc w:val="center"/>
        <w:rPr>
          <w:rFonts w:ascii="宋体" w:hAnsi="宋体"/>
          <w:sz w:val="32"/>
          <w:szCs w:val="32"/>
          <w:u w:val="single"/>
        </w:rPr>
      </w:pPr>
      <w:r>
        <w:rPr>
          <w:rFonts w:hint="eastAsia" w:ascii="宋体" w:hAnsi="宋体"/>
          <w:sz w:val="32"/>
          <w:szCs w:val="32"/>
        </w:rPr>
        <w:t>日期：年月日</w:t>
      </w:r>
    </w:p>
    <w:p>
      <w:pPr>
        <w:rPr>
          <w:rFonts w:ascii="宋体" w:hAnsi="宋体"/>
        </w:rPr>
      </w:pPr>
    </w:p>
    <w:p>
      <w:pPr>
        <w:rPr>
          <w:rFonts w:ascii="宋体" w:hAnsi="宋体"/>
          <w:sz w:val="24"/>
          <w:szCs w:val="32"/>
        </w:rPr>
      </w:pPr>
    </w:p>
    <w:p>
      <w:pPr>
        <w:rPr>
          <w:rFonts w:ascii="宋体" w:hAnsi="宋体"/>
          <w:sz w:val="24"/>
          <w:szCs w:val="32"/>
        </w:rPr>
      </w:pPr>
    </w:p>
    <w:p>
      <w:pPr>
        <w:rPr>
          <w:rFonts w:ascii="宋体" w:hAnsi="宋体"/>
          <w:sz w:val="24"/>
          <w:szCs w:val="32"/>
        </w:rPr>
      </w:pPr>
    </w:p>
    <w:p>
      <w:pPr>
        <w:rPr>
          <w:rFonts w:ascii="宋体" w:hAnsi="宋体"/>
          <w:sz w:val="24"/>
          <w:szCs w:val="32"/>
        </w:rPr>
      </w:pPr>
    </w:p>
    <w:p>
      <w:pPr>
        <w:rPr>
          <w:rFonts w:ascii="宋体" w:hAnsi="宋体"/>
          <w:sz w:val="24"/>
          <w:szCs w:val="32"/>
        </w:rPr>
      </w:pPr>
      <w:r>
        <w:rPr>
          <w:rFonts w:hint="eastAsia" w:ascii="宋体" w:hAnsi="宋体"/>
          <w:sz w:val="24"/>
          <w:szCs w:val="32"/>
        </w:rPr>
        <w:t>说明：请供应商自行编制响应文件目录。</w:t>
      </w:r>
      <w:bookmarkEnd w:id="592"/>
      <w:bookmarkStart w:id="593" w:name="_Toc276645580"/>
      <w:bookmarkStart w:id="594" w:name="_Toc259090983"/>
      <w:bookmarkStart w:id="595" w:name="_Toc6322297"/>
      <w:bookmarkStart w:id="596" w:name="_Toc104040702"/>
      <w:bookmarkStart w:id="597" w:name="_Toc462677235"/>
      <w:bookmarkStart w:id="598" w:name="_Toc103033234"/>
      <w:bookmarkStart w:id="599" w:name="_Toc67046895"/>
      <w:bookmarkStart w:id="600" w:name="_Toc32977098"/>
      <w:bookmarkStart w:id="601" w:name="_Toc6397152"/>
      <w:bookmarkStart w:id="602" w:name="_Toc6727973"/>
    </w:p>
    <w:p>
      <w:pPr>
        <w:jc w:val="center"/>
        <w:rPr>
          <w:rFonts w:ascii="Wingdings" w:hAnsi="Wingdings"/>
          <w:b/>
          <w:bCs/>
          <w:sz w:val="28"/>
          <w:szCs w:val="36"/>
        </w:rPr>
      </w:pPr>
      <w:r>
        <w:rPr>
          <w:rFonts w:hint="eastAsia"/>
          <w:b/>
          <w:bCs/>
          <w:sz w:val="28"/>
          <w:szCs w:val="28"/>
        </w:rPr>
        <w:t>资格性索引表</w:t>
      </w:r>
    </w:p>
    <w:tbl>
      <w:tblPr>
        <w:tblStyle w:val="49"/>
        <w:tblW w:w="5000" w:type="pct"/>
        <w:tblInd w:w="0" w:type="dxa"/>
        <w:tblLayout w:type="autofit"/>
        <w:tblCellMar>
          <w:top w:w="0" w:type="dxa"/>
          <w:left w:w="108" w:type="dxa"/>
          <w:bottom w:w="0" w:type="dxa"/>
          <w:right w:w="108" w:type="dxa"/>
        </w:tblCellMar>
      </w:tblPr>
      <w:tblGrid>
        <w:gridCol w:w="635"/>
        <w:gridCol w:w="1918"/>
        <w:gridCol w:w="2885"/>
        <w:gridCol w:w="1750"/>
        <w:gridCol w:w="2054"/>
      </w:tblGrid>
      <w:tr>
        <w:tblPrEx>
          <w:tblCellMar>
            <w:top w:w="0" w:type="dxa"/>
            <w:left w:w="108" w:type="dxa"/>
            <w:bottom w:w="0" w:type="dxa"/>
            <w:right w:w="108" w:type="dxa"/>
          </w:tblCellMar>
        </w:tblPrEx>
        <w:trPr>
          <w:trHeight w:val="552" w:hRule="atLeast"/>
        </w:trPr>
        <w:tc>
          <w:tcPr>
            <w:tcW w:w="1353" w:type="pct"/>
            <w:gridSpan w:val="2"/>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
                <w:szCs w:val="21"/>
              </w:rPr>
            </w:pPr>
            <w:bookmarkStart w:id="603" w:name="RANGE!A1"/>
            <w:r>
              <w:rPr>
                <w:rFonts w:hint="eastAsia" w:ascii="宋体" w:hAnsi="宋体"/>
                <w:b/>
                <w:szCs w:val="21"/>
              </w:rPr>
              <w:t>评审内容</w:t>
            </w:r>
            <w:bookmarkEnd w:id="603"/>
          </w:p>
        </w:tc>
        <w:tc>
          <w:tcPr>
            <w:tcW w:w="1570" w:type="pct"/>
            <w:tcBorders>
              <w:top w:val="single" w:color="auto" w:sz="4" w:space="0"/>
              <w:left w:val="nil"/>
              <w:bottom w:val="single" w:color="auto" w:sz="4" w:space="0"/>
              <w:right w:val="single" w:color="auto" w:sz="4" w:space="0"/>
            </w:tcBorders>
            <w:vAlign w:val="center"/>
          </w:tcPr>
          <w:p>
            <w:pPr>
              <w:spacing w:line="276" w:lineRule="auto"/>
              <w:jc w:val="center"/>
              <w:rPr>
                <w:rFonts w:ascii="宋体" w:hAnsi="宋体"/>
                <w:b/>
                <w:szCs w:val="21"/>
              </w:rPr>
            </w:pPr>
            <w:r>
              <w:rPr>
                <w:rFonts w:hint="eastAsia" w:ascii="宋体" w:hAnsi="宋体"/>
                <w:b/>
                <w:szCs w:val="21"/>
              </w:rPr>
              <w:t>采购文件要求</w:t>
            </w:r>
          </w:p>
        </w:tc>
        <w:tc>
          <w:tcPr>
            <w:tcW w:w="956" w:type="pct"/>
            <w:tcBorders>
              <w:top w:val="single" w:color="auto" w:sz="4" w:space="0"/>
              <w:left w:val="nil"/>
              <w:bottom w:val="single" w:color="auto" w:sz="4" w:space="0"/>
              <w:right w:val="single" w:color="auto" w:sz="4" w:space="0"/>
            </w:tcBorders>
            <w:vAlign w:val="center"/>
          </w:tcPr>
          <w:p>
            <w:pPr>
              <w:spacing w:line="276" w:lineRule="auto"/>
              <w:jc w:val="center"/>
              <w:rPr>
                <w:rFonts w:ascii="宋体" w:hAnsi="宋体"/>
                <w:b/>
                <w:szCs w:val="21"/>
              </w:rPr>
            </w:pPr>
            <w:r>
              <w:rPr>
                <w:rFonts w:hint="eastAsia" w:ascii="宋体" w:hAnsi="宋体"/>
                <w:b/>
                <w:szCs w:val="21"/>
              </w:rPr>
              <w:t>自查结论</w:t>
            </w:r>
          </w:p>
        </w:tc>
        <w:tc>
          <w:tcPr>
            <w:tcW w:w="1121" w:type="pct"/>
            <w:tcBorders>
              <w:top w:val="single" w:color="auto" w:sz="4" w:space="0"/>
              <w:left w:val="nil"/>
              <w:bottom w:val="single" w:color="auto" w:sz="4" w:space="0"/>
              <w:right w:val="single" w:color="auto" w:sz="4" w:space="0"/>
            </w:tcBorders>
            <w:vAlign w:val="center"/>
          </w:tcPr>
          <w:p>
            <w:pPr>
              <w:spacing w:line="276" w:lineRule="auto"/>
              <w:jc w:val="center"/>
              <w:rPr>
                <w:rFonts w:ascii="宋体" w:hAnsi="宋体"/>
                <w:b/>
                <w:szCs w:val="21"/>
              </w:rPr>
            </w:pPr>
            <w:r>
              <w:rPr>
                <w:rFonts w:hint="eastAsia" w:ascii="宋体" w:hAnsi="宋体"/>
                <w:b/>
                <w:szCs w:val="21"/>
              </w:rPr>
              <w:t>证明资料</w:t>
            </w:r>
          </w:p>
        </w:tc>
      </w:tr>
      <w:tr>
        <w:tblPrEx>
          <w:tblCellMar>
            <w:top w:w="0" w:type="dxa"/>
            <w:left w:w="108" w:type="dxa"/>
            <w:bottom w:w="0" w:type="dxa"/>
            <w:right w:w="108" w:type="dxa"/>
          </w:tblCellMar>
        </w:tblPrEx>
        <w:trPr>
          <w:trHeight w:val="489" w:hRule="atLeast"/>
        </w:trPr>
        <w:tc>
          <w:tcPr>
            <w:tcW w:w="307" w:type="pct"/>
            <w:vMerge w:val="restart"/>
            <w:tcBorders>
              <w:top w:val="nil"/>
              <w:left w:val="single" w:color="auto" w:sz="4" w:space="0"/>
              <w:bottom w:val="single" w:color="auto" w:sz="4" w:space="0"/>
              <w:right w:val="single" w:color="auto" w:sz="4" w:space="0"/>
            </w:tcBorders>
            <w:vAlign w:val="center"/>
          </w:tcPr>
          <w:p>
            <w:pPr>
              <w:spacing w:line="240" w:lineRule="auto"/>
              <w:ind w:left="113" w:right="113"/>
              <w:jc w:val="center"/>
              <w:rPr>
                <w:rFonts w:ascii="宋体" w:hAnsi="宋体"/>
                <w:szCs w:val="21"/>
              </w:rPr>
            </w:pPr>
            <w:r>
              <w:rPr>
                <w:rFonts w:hint="eastAsia" w:ascii="宋体" w:hAnsi="宋体"/>
                <w:szCs w:val="21"/>
              </w:rPr>
              <w:t>资格性审查表</w:t>
            </w:r>
          </w:p>
        </w:tc>
        <w:tc>
          <w:tcPr>
            <w:tcW w:w="1047"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见响应文件第（）页</w:t>
            </w:r>
          </w:p>
        </w:tc>
      </w:tr>
      <w:tr>
        <w:tblPrEx>
          <w:tblCellMar>
            <w:top w:w="0" w:type="dxa"/>
            <w:left w:w="108" w:type="dxa"/>
            <w:bottom w:w="0" w:type="dxa"/>
            <w:right w:w="108" w:type="dxa"/>
          </w:tblCellMar>
        </w:tblPrEx>
        <w:trPr>
          <w:trHeight w:val="504"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ascii="宋体" w:hAnsi="宋体"/>
                <w:szCs w:val="21"/>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见响应文件第（）页</w:t>
            </w:r>
          </w:p>
        </w:tc>
      </w:tr>
      <w:tr>
        <w:tblPrEx>
          <w:tblCellMar>
            <w:top w:w="0" w:type="dxa"/>
            <w:left w:w="108" w:type="dxa"/>
            <w:bottom w:w="0" w:type="dxa"/>
            <w:right w:w="108" w:type="dxa"/>
          </w:tblCellMar>
        </w:tblPrEx>
        <w:trPr>
          <w:trHeight w:val="475"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ascii="宋体" w:hAnsi="宋体"/>
                <w:szCs w:val="21"/>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□通过□不通过</w:t>
            </w:r>
          </w:p>
        </w:tc>
        <w:tc>
          <w:tcPr>
            <w:tcW w:w="2221" w:type="dxa"/>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见响应文件第（）页</w:t>
            </w:r>
          </w:p>
        </w:tc>
      </w:tr>
      <w:tr>
        <w:tblPrEx>
          <w:tblCellMar>
            <w:top w:w="0" w:type="dxa"/>
            <w:left w:w="108" w:type="dxa"/>
            <w:bottom w:w="0" w:type="dxa"/>
            <w:right w:w="108" w:type="dxa"/>
          </w:tblCellMar>
        </w:tblPrEx>
        <w:trPr>
          <w:trHeight w:val="519"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ascii="宋体" w:hAnsi="宋体"/>
                <w:szCs w:val="21"/>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□通过□不通过</w:t>
            </w:r>
          </w:p>
        </w:tc>
        <w:tc>
          <w:tcPr>
            <w:tcW w:w="2221" w:type="dxa"/>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见响应文件第（）页</w:t>
            </w:r>
          </w:p>
        </w:tc>
      </w:tr>
      <w:tr>
        <w:tblPrEx>
          <w:tblCellMar>
            <w:top w:w="0" w:type="dxa"/>
            <w:left w:w="108" w:type="dxa"/>
            <w:bottom w:w="0" w:type="dxa"/>
            <w:right w:w="108" w:type="dxa"/>
          </w:tblCellMar>
        </w:tblPrEx>
        <w:trPr>
          <w:trHeight w:val="538" w:hRule="atLeast"/>
        </w:trPr>
        <w:tc>
          <w:tcPr>
            <w:tcW w:w="307" w:type="pct"/>
            <w:vMerge w:val="restart"/>
            <w:tcBorders>
              <w:top w:val="nil"/>
              <w:left w:val="single" w:color="auto" w:sz="4" w:space="0"/>
              <w:right w:val="single" w:color="auto" w:sz="4" w:space="0"/>
            </w:tcBorders>
            <w:textDirection w:val="tbRlV"/>
            <w:vAlign w:val="center"/>
          </w:tcPr>
          <w:p>
            <w:pPr>
              <w:spacing w:line="240" w:lineRule="auto"/>
              <w:ind w:left="113" w:right="113"/>
              <w:jc w:val="center"/>
              <w:rPr>
                <w:rFonts w:ascii="宋体" w:hAnsi="宋体"/>
                <w:szCs w:val="21"/>
              </w:rPr>
            </w:pPr>
            <w:r>
              <w:rPr>
                <w:rFonts w:hint="eastAsia" w:ascii="宋体" w:hAnsi="宋体"/>
                <w:szCs w:val="21"/>
              </w:rPr>
              <w:t>符合性审查</w:t>
            </w:r>
          </w:p>
        </w:tc>
        <w:tc>
          <w:tcPr>
            <w:tcW w:w="1047"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□通过□不通过</w:t>
            </w:r>
          </w:p>
        </w:tc>
        <w:tc>
          <w:tcPr>
            <w:tcW w:w="2221" w:type="dxa"/>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见响应文件第（）页</w:t>
            </w:r>
          </w:p>
        </w:tc>
      </w:tr>
      <w:tr>
        <w:tblPrEx>
          <w:tblCellMar>
            <w:top w:w="0" w:type="dxa"/>
            <w:left w:w="108" w:type="dxa"/>
            <w:bottom w:w="0" w:type="dxa"/>
            <w:right w:w="108" w:type="dxa"/>
          </w:tblCellMar>
        </w:tblPrEx>
        <w:trPr>
          <w:trHeight w:val="529" w:hRule="atLeast"/>
        </w:trPr>
        <w:tc>
          <w:tcPr>
            <w:tcW w:w="307" w:type="pct"/>
            <w:vMerge w:val="continue"/>
            <w:tcBorders>
              <w:left w:val="single" w:color="auto" w:sz="4" w:space="0"/>
              <w:right w:val="single" w:color="auto" w:sz="4" w:space="0"/>
            </w:tcBorders>
            <w:textDirection w:val="tbRlV"/>
            <w:vAlign w:val="center"/>
          </w:tcPr>
          <w:p>
            <w:pPr>
              <w:rPr>
                <w:rFonts w:ascii="宋体" w:hAnsi="宋体"/>
                <w:szCs w:val="21"/>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□通过□不通过</w:t>
            </w:r>
          </w:p>
        </w:tc>
        <w:tc>
          <w:tcPr>
            <w:tcW w:w="2221" w:type="dxa"/>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见响应文件第（）页</w:t>
            </w:r>
          </w:p>
        </w:tc>
      </w:tr>
      <w:tr>
        <w:tblPrEx>
          <w:tblCellMar>
            <w:top w:w="0" w:type="dxa"/>
            <w:left w:w="108" w:type="dxa"/>
            <w:bottom w:w="0" w:type="dxa"/>
            <w:right w:w="108" w:type="dxa"/>
          </w:tblCellMar>
        </w:tblPrEx>
        <w:trPr>
          <w:trHeight w:val="515" w:hRule="atLeast"/>
        </w:trPr>
        <w:tc>
          <w:tcPr>
            <w:tcW w:w="307" w:type="pct"/>
            <w:vMerge w:val="continue"/>
            <w:tcBorders>
              <w:left w:val="single" w:color="auto" w:sz="4" w:space="0"/>
              <w:right w:val="single" w:color="auto" w:sz="4" w:space="0"/>
            </w:tcBorders>
            <w:textDirection w:val="tbRlV"/>
            <w:vAlign w:val="center"/>
          </w:tcPr>
          <w:p>
            <w:pPr>
              <w:rPr>
                <w:rFonts w:ascii="宋体" w:hAnsi="宋体"/>
                <w:szCs w:val="21"/>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□通过□不通过</w:t>
            </w:r>
          </w:p>
        </w:tc>
        <w:tc>
          <w:tcPr>
            <w:tcW w:w="2221" w:type="dxa"/>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见响应文件第（）页</w:t>
            </w:r>
          </w:p>
        </w:tc>
      </w:tr>
      <w:tr>
        <w:tblPrEx>
          <w:tblCellMar>
            <w:top w:w="0" w:type="dxa"/>
            <w:left w:w="108" w:type="dxa"/>
            <w:bottom w:w="0" w:type="dxa"/>
            <w:right w:w="108" w:type="dxa"/>
          </w:tblCellMar>
        </w:tblPrEx>
        <w:trPr>
          <w:trHeight w:val="500" w:hRule="atLeast"/>
        </w:trPr>
        <w:tc>
          <w:tcPr>
            <w:tcW w:w="307" w:type="pct"/>
            <w:vMerge w:val="continue"/>
            <w:tcBorders>
              <w:left w:val="single" w:color="auto" w:sz="4" w:space="0"/>
              <w:bottom w:val="single" w:color="auto" w:sz="4" w:space="0"/>
              <w:right w:val="single" w:color="auto" w:sz="4" w:space="0"/>
            </w:tcBorders>
            <w:textDirection w:val="tbRlV"/>
            <w:vAlign w:val="center"/>
          </w:tcPr>
          <w:p>
            <w:pPr>
              <w:rPr>
                <w:rFonts w:ascii="宋体" w:hAnsi="宋体"/>
                <w:szCs w:val="21"/>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□通过□不通过</w:t>
            </w:r>
          </w:p>
        </w:tc>
        <w:tc>
          <w:tcPr>
            <w:tcW w:w="2221" w:type="dxa"/>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见响应文件第（）页</w:t>
            </w:r>
          </w:p>
        </w:tc>
      </w:tr>
    </w:tbl>
    <w:p>
      <w:pPr>
        <w:rPr>
          <w:sz w:val="32"/>
          <w:szCs w:val="32"/>
        </w:rPr>
      </w:pPr>
    </w:p>
    <w:p>
      <w:pPr>
        <w:rPr>
          <w:sz w:val="32"/>
          <w:szCs w:val="32"/>
        </w:rPr>
      </w:pPr>
      <w:r>
        <w:rPr>
          <w:rFonts w:hint="eastAsia"/>
          <w:sz w:val="32"/>
          <w:szCs w:val="32"/>
        </w:rPr>
        <w:br w:type="page"/>
      </w:r>
    </w:p>
    <w:p>
      <w:pPr>
        <w:jc w:val="center"/>
        <w:rPr>
          <w:rFonts w:ascii="宋体" w:hAnsi="宋体" w:cs="宋体"/>
          <w:b/>
          <w:bCs/>
          <w:sz w:val="28"/>
          <w:szCs w:val="28"/>
        </w:rPr>
      </w:pPr>
      <w:r>
        <w:rPr>
          <w:rFonts w:hint="eastAsia" w:ascii="宋体" w:hAnsi="宋体" w:cs="宋体"/>
          <w:b/>
          <w:bCs/>
          <w:sz w:val="28"/>
          <w:szCs w:val="28"/>
        </w:rPr>
        <w:t>评审细则索引表</w:t>
      </w:r>
    </w:p>
    <w:tbl>
      <w:tblPr>
        <w:tblStyle w:val="4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6"/>
        <w:gridCol w:w="5031"/>
        <w:gridCol w:w="2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815" w:type="pc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
                <w:szCs w:val="21"/>
              </w:rPr>
            </w:pPr>
            <w:r>
              <w:rPr>
                <w:rFonts w:hint="eastAsia" w:ascii="宋体" w:hAnsi="宋体" w:cs="宋体"/>
                <w:b/>
                <w:szCs w:val="21"/>
              </w:rPr>
              <w:t>评审分项</w:t>
            </w:r>
          </w:p>
        </w:tc>
        <w:tc>
          <w:tcPr>
            <w:tcW w:w="2722" w:type="pc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
                <w:szCs w:val="21"/>
              </w:rPr>
            </w:pPr>
            <w:r>
              <w:rPr>
                <w:rFonts w:hint="eastAsia" w:ascii="宋体" w:hAnsi="宋体" w:cs="宋体"/>
                <w:b/>
                <w:szCs w:val="21"/>
              </w:rPr>
              <w:t>评审细则</w:t>
            </w:r>
          </w:p>
        </w:tc>
        <w:tc>
          <w:tcPr>
            <w:tcW w:w="1463" w:type="pc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
                <w:szCs w:val="21"/>
              </w:rPr>
            </w:pPr>
            <w:r>
              <w:rPr>
                <w:rFonts w:hint="eastAsia" w:ascii="宋体" w:hAnsi="宋体" w:cs="宋体"/>
                <w:b/>
                <w:szCs w:val="21"/>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815" w:type="pct"/>
            <w:vMerge w:val="restart"/>
            <w:tcBorders>
              <w:top w:val="single" w:color="auto" w:sz="4" w:space="0"/>
              <w:left w:val="single" w:color="auto" w:sz="4" w:space="0"/>
              <w:bottom w:val="single" w:color="auto" w:sz="4" w:space="0"/>
              <w:right w:val="single" w:color="auto" w:sz="4" w:space="0"/>
            </w:tcBorders>
            <w:textDirection w:val="tbRlV"/>
            <w:vAlign w:val="center"/>
          </w:tcPr>
          <w:p>
            <w:pPr>
              <w:spacing w:line="276" w:lineRule="auto"/>
              <w:jc w:val="center"/>
              <w:rPr>
                <w:rFonts w:ascii="宋体" w:hAnsi="宋体" w:cs="宋体"/>
                <w:bCs/>
                <w:szCs w:val="21"/>
              </w:rPr>
            </w:pPr>
            <w:r>
              <w:rPr>
                <w:rFonts w:hint="eastAsia" w:ascii="宋体" w:hAnsi="宋体" w:cs="宋体"/>
                <w:bCs/>
                <w:szCs w:val="21"/>
              </w:rPr>
              <w:t>技术商务评分</w:t>
            </w:r>
          </w:p>
        </w:tc>
        <w:tc>
          <w:tcPr>
            <w:tcW w:w="2722" w:type="pc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p>
        </w:tc>
        <w:tc>
          <w:tcPr>
            <w:tcW w:w="291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r>
              <w:rPr>
                <w:rFonts w:hint="eastAsia" w:ascii="宋体" w:hAnsi="宋体" w:cs="宋体"/>
                <w:bCs/>
                <w:szCs w:val="21"/>
              </w:rPr>
              <w:t>见</w:t>
            </w:r>
            <w:r>
              <w:rPr>
                <w:rFonts w:hint="eastAsia" w:ascii="宋体" w:hAnsi="宋体"/>
                <w:szCs w:val="21"/>
              </w:rPr>
              <w:t>响应</w:t>
            </w:r>
            <w:r>
              <w:rPr>
                <w:rFonts w:hint="eastAsia" w:ascii="宋体" w:hAnsi="宋体" w:cs="宋体"/>
                <w:bCs/>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p>
        </w:tc>
        <w:tc>
          <w:tcPr>
            <w:tcW w:w="2722" w:type="pc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p>
        </w:tc>
        <w:tc>
          <w:tcPr>
            <w:tcW w:w="291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r>
              <w:rPr>
                <w:rFonts w:hint="eastAsia" w:ascii="宋体" w:hAnsi="宋体" w:cs="宋体"/>
                <w:bCs/>
                <w:szCs w:val="21"/>
              </w:rPr>
              <w:t>见</w:t>
            </w:r>
            <w:r>
              <w:rPr>
                <w:rFonts w:hint="eastAsia" w:ascii="宋体" w:hAnsi="宋体"/>
                <w:szCs w:val="21"/>
              </w:rPr>
              <w:t>响应</w:t>
            </w:r>
            <w:r>
              <w:rPr>
                <w:rFonts w:hint="eastAsia" w:ascii="宋体" w:hAnsi="宋体" w:cs="宋体"/>
                <w:bCs/>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p>
        </w:tc>
        <w:tc>
          <w:tcPr>
            <w:tcW w:w="2722" w:type="pc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p>
        </w:tc>
        <w:tc>
          <w:tcPr>
            <w:tcW w:w="291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r>
              <w:rPr>
                <w:rFonts w:hint="eastAsia" w:ascii="宋体" w:hAnsi="宋体" w:cs="宋体"/>
                <w:bCs/>
                <w:szCs w:val="21"/>
              </w:rPr>
              <w:t>见</w:t>
            </w:r>
            <w:r>
              <w:rPr>
                <w:rFonts w:hint="eastAsia" w:ascii="宋体" w:hAnsi="宋体"/>
                <w:szCs w:val="21"/>
              </w:rPr>
              <w:t>响应</w:t>
            </w:r>
            <w:r>
              <w:rPr>
                <w:rFonts w:hint="eastAsia" w:ascii="宋体" w:hAnsi="宋体" w:cs="宋体"/>
                <w:bCs/>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p>
        </w:tc>
        <w:tc>
          <w:tcPr>
            <w:tcW w:w="2722" w:type="pc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p>
        </w:tc>
        <w:tc>
          <w:tcPr>
            <w:tcW w:w="291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r>
              <w:rPr>
                <w:rFonts w:hint="eastAsia" w:ascii="宋体" w:hAnsi="宋体" w:cs="宋体"/>
                <w:bCs/>
                <w:szCs w:val="21"/>
              </w:rPr>
              <w:t>见</w:t>
            </w:r>
            <w:r>
              <w:rPr>
                <w:rFonts w:hint="eastAsia" w:ascii="宋体" w:hAnsi="宋体"/>
                <w:szCs w:val="21"/>
              </w:rPr>
              <w:t>响应</w:t>
            </w:r>
            <w:r>
              <w:rPr>
                <w:rFonts w:hint="eastAsia" w:ascii="宋体" w:hAnsi="宋体" w:cs="宋体"/>
                <w:bCs/>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p>
        </w:tc>
        <w:tc>
          <w:tcPr>
            <w:tcW w:w="2722" w:type="pc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p>
        </w:tc>
        <w:tc>
          <w:tcPr>
            <w:tcW w:w="291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r>
              <w:rPr>
                <w:rFonts w:hint="eastAsia" w:ascii="宋体" w:hAnsi="宋体" w:cs="宋体"/>
                <w:bCs/>
                <w:szCs w:val="21"/>
              </w:rPr>
              <w:t>见</w:t>
            </w:r>
            <w:r>
              <w:rPr>
                <w:rFonts w:hint="eastAsia" w:ascii="宋体" w:hAnsi="宋体"/>
                <w:szCs w:val="21"/>
              </w:rPr>
              <w:t>响应</w:t>
            </w:r>
            <w:r>
              <w:rPr>
                <w:rFonts w:hint="eastAsia" w:ascii="宋体" w:hAnsi="宋体" w:cs="宋体"/>
                <w:bCs/>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p>
        </w:tc>
        <w:tc>
          <w:tcPr>
            <w:tcW w:w="2722" w:type="pc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p>
        </w:tc>
        <w:tc>
          <w:tcPr>
            <w:tcW w:w="291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r>
              <w:rPr>
                <w:rFonts w:hint="eastAsia" w:ascii="宋体" w:hAnsi="宋体" w:cs="宋体"/>
                <w:bCs/>
                <w:szCs w:val="21"/>
              </w:rPr>
              <w:t>见</w:t>
            </w:r>
            <w:r>
              <w:rPr>
                <w:rFonts w:hint="eastAsia" w:ascii="宋体" w:hAnsi="宋体"/>
                <w:szCs w:val="21"/>
              </w:rPr>
              <w:t>响应</w:t>
            </w:r>
            <w:r>
              <w:rPr>
                <w:rFonts w:hint="eastAsia" w:ascii="宋体" w:hAnsi="宋体" w:cs="宋体"/>
                <w:bCs/>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p>
        </w:tc>
        <w:tc>
          <w:tcPr>
            <w:tcW w:w="2722" w:type="pc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p>
        </w:tc>
        <w:tc>
          <w:tcPr>
            <w:tcW w:w="291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r>
              <w:rPr>
                <w:rFonts w:hint="eastAsia" w:ascii="宋体" w:hAnsi="宋体" w:cs="宋体"/>
                <w:bCs/>
                <w:szCs w:val="21"/>
              </w:rPr>
              <w:t>见</w:t>
            </w:r>
            <w:r>
              <w:rPr>
                <w:rFonts w:hint="eastAsia" w:ascii="宋体" w:hAnsi="宋体"/>
                <w:szCs w:val="21"/>
              </w:rPr>
              <w:t>响应</w:t>
            </w:r>
            <w:r>
              <w:rPr>
                <w:rFonts w:hint="eastAsia" w:ascii="宋体" w:hAnsi="宋体" w:cs="宋体"/>
                <w:bCs/>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9"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p>
        </w:tc>
        <w:tc>
          <w:tcPr>
            <w:tcW w:w="2722" w:type="pc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p>
        </w:tc>
        <w:tc>
          <w:tcPr>
            <w:tcW w:w="291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bCs/>
                <w:szCs w:val="21"/>
              </w:rPr>
            </w:pPr>
            <w:r>
              <w:rPr>
                <w:rFonts w:hint="eastAsia" w:ascii="宋体" w:hAnsi="宋体" w:cs="宋体"/>
                <w:bCs/>
                <w:szCs w:val="21"/>
              </w:rPr>
              <w:t>见</w:t>
            </w:r>
            <w:r>
              <w:rPr>
                <w:rFonts w:hint="eastAsia" w:ascii="宋体" w:hAnsi="宋体"/>
                <w:szCs w:val="21"/>
              </w:rPr>
              <w:t>响应</w:t>
            </w:r>
            <w:r>
              <w:rPr>
                <w:rFonts w:hint="eastAsia" w:ascii="宋体" w:hAnsi="宋体" w:cs="宋体"/>
                <w:bCs/>
                <w:szCs w:val="21"/>
              </w:rPr>
              <w:t>文件第（）页</w:t>
            </w:r>
          </w:p>
        </w:tc>
      </w:tr>
    </w:tbl>
    <w:p>
      <w:pPr>
        <w:spacing w:line="276" w:lineRule="auto"/>
        <w:jc w:val="center"/>
        <w:rPr>
          <w:rFonts w:ascii="宋体" w:hAnsi="宋体" w:cs="宋体"/>
          <w:b/>
          <w:szCs w:val="21"/>
        </w:rPr>
      </w:pPr>
    </w:p>
    <w:p>
      <w:pPr>
        <w:rPr>
          <w:rFonts w:ascii="宋体" w:hAnsi="宋体"/>
          <w:b/>
          <w:bCs/>
          <w:sz w:val="32"/>
          <w:szCs w:val="32"/>
        </w:rPr>
      </w:pPr>
      <w:r>
        <w:rPr>
          <w:rFonts w:hint="eastAsia" w:ascii="宋体" w:hAnsi="宋体"/>
          <w:sz w:val="24"/>
          <w:szCs w:val="32"/>
        </w:rPr>
        <w:br w:type="page"/>
      </w:r>
    </w:p>
    <w:p>
      <w:pPr>
        <w:pStyle w:val="5"/>
        <w:keepNext w:val="0"/>
        <w:keepLines w:val="0"/>
        <w:numPr>
          <w:ilvl w:val="0"/>
          <w:numId w:val="19"/>
        </w:numPr>
        <w:spacing w:before="120" w:after="120" w:line="240" w:lineRule="auto"/>
        <w:rPr>
          <w:rFonts w:ascii="宋体" w:hAnsi="宋体"/>
          <w:szCs w:val="24"/>
        </w:rPr>
      </w:pPr>
      <w:r>
        <w:rPr>
          <w:rFonts w:hint="eastAsia" w:ascii="宋体" w:hAnsi="宋体"/>
          <w:szCs w:val="24"/>
        </w:rPr>
        <w:t>响应承诺函</w:t>
      </w:r>
      <w:bookmarkEnd w:id="593"/>
      <w:bookmarkEnd w:id="594"/>
      <w:bookmarkEnd w:id="595"/>
      <w:bookmarkEnd w:id="596"/>
      <w:bookmarkEnd w:id="597"/>
      <w:bookmarkEnd w:id="598"/>
      <w:bookmarkEnd w:id="599"/>
    </w:p>
    <w:p>
      <w:pPr>
        <w:jc w:val="center"/>
        <w:rPr>
          <w:rFonts w:ascii="宋体" w:hAnsi="宋体"/>
          <w:b/>
          <w:bCs/>
          <w:sz w:val="28"/>
          <w:szCs w:val="28"/>
        </w:rPr>
      </w:pPr>
      <w:r>
        <w:rPr>
          <w:rFonts w:hint="eastAsia" w:ascii="宋体" w:hAnsi="宋体"/>
          <w:b/>
          <w:bCs/>
          <w:sz w:val="28"/>
          <w:szCs w:val="28"/>
        </w:rPr>
        <w:t>响应承诺函</w:t>
      </w:r>
    </w:p>
    <w:p>
      <w:pPr>
        <w:adjustRightInd w:val="0"/>
        <w:snapToGrid w:val="0"/>
        <w:rPr>
          <w:rFonts w:ascii="宋体" w:hAnsi="宋体"/>
          <w:i/>
          <w:iCs/>
          <w:sz w:val="24"/>
          <w:u w:val="single"/>
        </w:rPr>
      </w:pPr>
      <w:r>
        <w:rPr>
          <w:rFonts w:hint="eastAsia" w:ascii="宋体" w:hAnsi="宋体"/>
          <w:sz w:val="24"/>
        </w:rPr>
        <w:t>致：</w:t>
      </w:r>
      <w:r>
        <w:rPr>
          <w:rFonts w:hint="eastAsia" w:ascii="宋体" w:hAnsi="宋体"/>
          <w:sz w:val="24"/>
          <w:u w:val="single"/>
        </w:rPr>
        <w:t>（采购人名称）</w:t>
      </w:r>
    </w:p>
    <w:p>
      <w:pPr>
        <w:pStyle w:val="358"/>
        <w:rPr>
          <w:lang w:eastAsia="zh-CN"/>
        </w:rPr>
      </w:pPr>
      <w:r>
        <w:rPr>
          <w:rFonts w:hint="eastAsia"/>
          <w:lang w:eastAsia="zh-CN"/>
        </w:rPr>
        <w:t>你方组织的</w:t>
      </w:r>
      <w:r>
        <w:rPr>
          <w:rFonts w:hint="eastAsia"/>
          <w:u w:val="single"/>
          <w:lang w:eastAsia="zh-CN"/>
        </w:rPr>
        <w:t>（项目名称）</w:t>
      </w:r>
      <w:r>
        <w:rPr>
          <w:lang w:eastAsia="zh-CN"/>
        </w:rPr>
        <w:t>[项目编号：]</w:t>
      </w:r>
      <w:r>
        <w:rPr>
          <w:rFonts w:hint="eastAsia"/>
          <w:lang w:eastAsia="zh-CN"/>
        </w:rPr>
        <w:t>的竞争性磋商</w:t>
      </w:r>
      <w:r>
        <w:rPr>
          <w:lang w:eastAsia="zh-CN"/>
        </w:rPr>
        <w:t>，我方愿参与</w:t>
      </w:r>
      <w:r>
        <w:rPr>
          <w:rFonts w:hint="eastAsia"/>
          <w:lang w:eastAsia="zh-CN"/>
        </w:rPr>
        <w:t>响应</w:t>
      </w:r>
      <w:r>
        <w:rPr>
          <w:lang w:eastAsia="zh-CN"/>
        </w:rPr>
        <w:t>。</w:t>
      </w:r>
    </w:p>
    <w:p>
      <w:pPr>
        <w:pStyle w:val="358"/>
        <w:rPr>
          <w:lang w:eastAsia="zh-CN"/>
        </w:rPr>
      </w:pPr>
      <w:r>
        <w:rPr>
          <w:rFonts w:hint="eastAsia"/>
          <w:lang w:eastAsia="zh-CN"/>
        </w:rPr>
        <w:t>我方确认收到贵方提供的</w:t>
      </w:r>
      <w:r>
        <w:rPr>
          <w:rFonts w:hint="eastAsia"/>
          <w:u w:val="single"/>
          <w:lang w:eastAsia="zh-CN"/>
        </w:rPr>
        <w:t>（项目名称）</w:t>
      </w:r>
      <w:r>
        <w:rPr>
          <w:lang w:eastAsia="zh-CN"/>
        </w:rPr>
        <w:t>的</w:t>
      </w:r>
      <w:r>
        <w:rPr>
          <w:rFonts w:hint="eastAsia"/>
          <w:lang w:eastAsia="zh-CN"/>
        </w:rPr>
        <w:t>磋商</w:t>
      </w:r>
      <w:r>
        <w:rPr>
          <w:lang w:eastAsia="zh-CN"/>
        </w:rPr>
        <w:t>文件的全部内容。</w:t>
      </w:r>
    </w:p>
    <w:p>
      <w:pPr>
        <w:pStyle w:val="358"/>
        <w:rPr>
          <w:lang w:eastAsia="zh-CN"/>
        </w:rPr>
      </w:pPr>
      <w:r>
        <w:rPr>
          <w:rFonts w:hint="eastAsia"/>
          <w:lang w:eastAsia="zh-CN"/>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pPr>
        <w:pStyle w:val="358"/>
        <w:rPr>
          <w:lang w:eastAsia="zh-CN"/>
        </w:rPr>
      </w:pPr>
      <w:r>
        <w:rPr>
          <w:rFonts w:hint="eastAsia"/>
          <w:u w:val="single"/>
          <w:lang w:eastAsia="zh-CN"/>
        </w:rPr>
        <w:t>（供应商</w:t>
      </w:r>
      <w:r>
        <w:rPr>
          <w:u w:val="single"/>
          <w:lang w:eastAsia="zh-CN"/>
        </w:rPr>
        <w:t>名称</w:t>
      </w:r>
      <w:r>
        <w:rPr>
          <w:rFonts w:hint="eastAsia"/>
          <w:u w:val="single"/>
          <w:lang w:eastAsia="zh-CN"/>
        </w:rPr>
        <w:t>）</w:t>
      </w:r>
      <w:r>
        <w:rPr>
          <w:lang w:eastAsia="zh-CN"/>
        </w:rPr>
        <w:t>作为</w:t>
      </w:r>
      <w:r>
        <w:rPr>
          <w:rFonts w:hint="eastAsia"/>
          <w:lang w:eastAsia="zh-CN"/>
        </w:rPr>
        <w:t>供应商</w:t>
      </w:r>
      <w:r>
        <w:rPr>
          <w:lang w:eastAsia="zh-CN"/>
        </w:rPr>
        <w:t>正式授权</w:t>
      </w:r>
      <w:r>
        <w:rPr>
          <w:rFonts w:hint="eastAsia"/>
          <w:u w:val="single"/>
          <w:lang w:eastAsia="zh-CN"/>
        </w:rPr>
        <w:t>（</w:t>
      </w:r>
      <w:r>
        <w:rPr>
          <w:u w:val="single"/>
          <w:lang w:eastAsia="zh-CN"/>
        </w:rPr>
        <w:t>授权代表全名,职务</w:t>
      </w:r>
      <w:r>
        <w:rPr>
          <w:rFonts w:hint="eastAsia"/>
          <w:u w:val="single"/>
          <w:lang w:eastAsia="zh-CN"/>
        </w:rPr>
        <w:t>）</w:t>
      </w:r>
      <w:r>
        <w:rPr>
          <w:lang w:eastAsia="zh-CN"/>
        </w:rPr>
        <w:t>代表</w:t>
      </w:r>
      <w:r>
        <w:rPr>
          <w:rFonts w:hint="eastAsia"/>
          <w:lang w:eastAsia="zh-CN"/>
        </w:rPr>
        <w:t>我方全权处理有关本响应的一切事宜</w:t>
      </w:r>
      <w:r>
        <w:rPr>
          <w:lang w:eastAsia="zh-CN"/>
        </w:rPr>
        <w:t>。</w:t>
      </w:r>
    </w:p>
    <w:p>
      <w:pPr>
        <w:pStyle w:val="358"/>
        <w:rPr>
          <w:lang w:eastAsia="zh-CN"/>
        </w:rPr>
      </w:pPr>
      <w:r>
        <w:rPr>
          <w:rFonts w:hint="eastAsia"/>
          <w:lang w:eastAsia="zh-CN"/>
        </w:rPr>
        <w:t>我方已完全明白磋商文件的所有条款要求，并申明如下：</w:t>
      </w:r>
    </w:p>
    <w:p>
      <w:pPr>
        <w:pStyle w:val="358"/>
        <w:rPr>
          <w:lang w:eastAsia="zh-CN"/>
        </w:rPr>
      </w:pPr>
      <w:r>
        <w:rPr>
          <w:rFonts w:hint="eastAsia"/>
          <w:lang w:eastAsia="zh-CN"/>
        </w:rPr>
        <w:t>（一）按磋商文件提供的全部货物（工程、服务）与相关服务的磋商总价详见《首轮报价表》。</w:t>
      </w:r>
    </w:p>
    <w:p>
      <w:pPr>
        <w:pStyle w:val="358"/>
        <w:rPr>
          <w:lang w:eastAsia="zh-CN"/>
        </w:rPr>
      </w:pPr>
      <w:r>
        <w:rPr>
          <w:rFonts w:hint="eastAsia"/>
          <w:lang w:eastAsia="zh-CN"/>
        </w:rPr>
        <w:t>（二）本响应文件的有效期为从提交投标（响应）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358"/>
        <w:rPr>
          <w:lang w:eastAsia="zh-CN"/>
        </w:rPr>
      </w:pPr>
      <w:r>
        <w:rPr>
          <w:rFonts w:hint="eastAsia"/>
          <w:lang w:eastAsia="zh-CN"/>
        </w:rPr>
        <w:t>（三）我方明白并同意，在规定的开启日之后，响应有效期之内撤回响应或成交后不按规定与采购人签订合同或不提交履约保证金, 则贵方将不予退还响应保证金。</w:t>
      </w:r>
    </w:p>
    <w:p>
      <w:pPr>
        <w:pStyle w:val="358"/>
        <w:rPr>
          <w:lang w:eastAsia="zh-CN"/>
        </w:rPr>
      </w:pPr>
      <w:r>
        <w:rPr>
          <w:rFonts w:hint="eastAsia"/>
          <w:lang w:eastAsia="zh-CN"/>
        </w:rPr>
        <w:t>（四）我方愿意向贵方提供任何与本项报价有关的数据、情况和技术资料。若贵方需要，我方愿意提供我方作出的一切承诺的证明材料。</w:t>
      </w:r>
    </w:p>
    <w:p>
      <w:pPr>
        <w:pStyle w:val="358"/>
        <w:rPr>
          <w:lang w:eastAsia="zh-CN"/>
        </w:rPr>
      </w:pPr>
      <w:r>
        <w:rPr>
          <w:rFonts w:hint="eastAsia"/>
          <w:lang w:eastAsia="zh-CN"/>
        </w:rPr>
        <w:t>（五）我方理解贵方不一定接受最低磋商价或任何贵方可能收到的响应。</w:t>
      </w:r>
    </w:p>
    <w:p>
      <w:pPr>
        <w:pStyle w:val="358"/>
        <w:rPr>
          <w:lang w:eastAsia="zh-CN"/>
        </w:rPr>
      </w:pPr>
      <w:r>
        <w:rPr>
          <w:rFonts w:hint="eastAsia"/>
          <w:lang w:eastAsia="zh-CN"/>
        </w:rPr>
        <w:t>（六）我方如果成交，将保证履行磋商文件及其澄清、修改文件（如果有）中的全部责任和义务，按质、按量、按期完成《采购需求》及《合同书》中的全部任务。</w:t>
      </w:r>
    </w:p>
    <w:p>
      <w:pPr>
        <w:pStyle w:val="358"/>
        <w:rPr>
          <w:lang w:eastAsia="zh-CN"/>
        </w:rPr>
      </w:pPr>
      <w:r>
        <w:rPr>
          <w:rFonts w:hint="eastAsia"/>
          <w:lang w:eastAsia="zh-CN"/>
        </w:rPr>
        <w:t>（七）我方作为法律、财务和运作上独立于采购人、采购代理机构的供应商，在此保证所提交的所有文件和全部说明是真实的和正确的。</w:t>
      </w:r>
    </w:p>
    <w:p>
      <w:pPr>
        <w:pStyle w:val="358"/>
        <w:rPr>
          <w:lang w:eastAsia="zh-CN"/>
        </w:rPr>
      </w:pPr>
      <w:r>
        <w:rPr>
          <w:rFonts w:hint="eastAsia"/>
          <w:lang w:eastAsia="zh-CN"/>
        </w:rPr>
        <w:t>（八）我方磋商报价已包含应向知识产权所有权人支付的所有相关税费，并保证采购人在中国使用我方提供的货物时，如有第三方提出侵犯其知识产权主张的，责任由我方承担。</w:t>
      </w:r>
    </w:p>
    <w:p>
      <w:pPr>
        <w:pStyle w:val="358"/>
        <w:rPr>
          <w:lang w:eastAsia="zh-CN"/>
        </w:rPr>
      </w:pPr>
      <w:r>
        <w:rPr>
          <w:rFonts w:hint="eastAsia"/>
          <w:lang w:eastAsia="zh-CN"/>
        </w:rPr>
        <w:t>（九）我方接受采购人委托向贵方支付代理服务费，项目总报价已包含代理服务费，如果被确定为成交供应商，承诺向贵方足额支付。</w:t>
      </w:r>
    </w:p>
    <w:p>
      <w:pPr>
        <w:pStyle w:val="358"/>
        <w:rPr>
          <w:lang w:eastAsia="zh-CN"/>
        </w:rPr>
      </w:pPr>
      <w:r>
        <w:rPr>
          <w:rFonts w:hint="eastAsia"/>
          <w:lang w:eastAsia="zh-CN"/>
        </w:rPr>
        <w:t>（十）我方与其他供应商不存在单位负责人为同一人或者存在直接控股、管理关系。</w:t>
      </w:r>
    </w:p>
    <w:p>
      <w:pPr>
        <w:pStyle w:val="358"/>
        <w:rPr>
          <w:lang w:eastAsia="zh-CN"/>
        </w:rPr>
      </w:pPr>
      <w:r>
        <w:rPr>
          <w:rFonts w:hint="eastAsia"/>
          <w:lang w:eastAsia="zh-CN"/>
        </w:rPr>
        <w:t>（十一）我方承诺未为本项目提供整体设计、规范编制或者项目管理、监理、检测等服务。</w:t>
      </w:r>
    </w:p>
    <w:p>
      <w:pPr>
        <w:pStyle w:val="358"/>
        <w:rPr>
          <w:lang w:eastAsia="zh-CN"/>
        </w:rPr>
      </w:pPr>
      <w:r>
        <w:rPr>
          <w:rFonts w:hint="eastAsia"/>
          <w:lang w:eastAsia="zh-CN"/>
        </w:rPr>
        <w:t>（十二）我方未被列入法院失信被执行人名单中。</w:t>
      </w:r>
    </w:p>
    <w:p>
      <w:pPr>
        <w:pStyle w:val="358"/>
        <w:rPr>
          <w:lang w:eastAsia="zh-CN"/>
        </w:rPr>
      </w:pPr>
      <w:r>
        <w:rPr>
          <w:rFonts w:hint="eastAsia"/>
          <w:lang w:eastAsia="zh-CN"/>
        </w:rPr>
        <w:t>（十三）我方具备《中华人民共和国政府采购法》第二十二条规定的条件，承诺如下：</w:t>
      </w:r>
    </w:p>
    <w:p>
      <w:pPr>
        <w:pStyle w:val="358"/>
        <w:rPr>
          <w:lang w:eastAsia="zh-CN"/>
        </w:rPr>
      </w:pPr>
      <w:r>
        <w:rPr>
          <w:rFonts w:hint="eastAsia"/>
          <w:lang w:eastAsia="zh-CN"/>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358"/>
        <w:rPr>
          <w:lang w:eastAsia="zh-CN"/>
        </w:rPr>
      </w:pPr>
      <w:r>
        <w:rPr>
          <w:rFonts w:hint="eastAsia"/>
          <w:lang w:eastAsia="zh-CN"/>
        </w:rPr>
        <w:t>（2）我方符合法律、行政法规规定的其他条件。</w:t>
      </w:r>
    </w:p>
    <w:p>
      <w:pPr>
        <w:pStyle w:val="358"/>
        <w:rPr>
          <w:lang w:eastAsia="zh-CN"/>
        </w:rPr>
      </w:pPr>
      <w:r>
        <w:rPr>
          <w:rFonts w:hint="eastAsia"/>
          <w:lang w:eastAsia="zh-CN"/>
        </w:rPr>
        <w:t>以上内容如有虚假或与事实不符的，磋商小组可将我方做无效响应处理，我方愿意承担相应的法律责任。</w:t>
      </w:r>
    </w:p>
    <w:p>
      <w:pPr>
        <w:pStyle w:val="358"/>
        <w:rPr>
          <w:lang w:eastAsia="zh-CN"/>
        </w:rPr>
      </w:pPr>
      <w:r>
        <w:rPr>
          <w:rFonts w:hint="eastAsia"/>
          <w:lang w:eastAsia="zh-CN"/>
        </w:rPr>
        <w:t>（十四）我方对在本函及响应文件中所作的所有承诺承担法律责任。</w:t>
      </w:r>
    </w:p>
    <w:p>
      <w:pPr>
        <w:pStyle w:val="358"/>
        <w:rPr>
          <w:lang w:eastAsia="zh-CN"/>
        </w:rPr>
      </w:pPr>
      <w:r>
        <w:rPr>
          <w:rFonts w:hint="eastAsia"/>
          <w:lang w:eastAsia="zh-CN"/>
        </w:rPr>
        <w:t>（十五）所有与本磋商有关的函件请发往下列地址：</w:t>
      </w:r>
    </w:p>
    <w:p>
      <w:pPr>
        <w:pStyle w:val="358"/>
        <w:rPr>
          <w:lang w:eastAsia="zh-CN"/>
        </w:rPr>
      </w:pPr>
      <w:r>
        <w:rPr>
          <w:rFonts w:hint="eastAsia"/>
          <w:lang w:eastAsia="zh-CN"/>
        </w:rPr>
        <w:t xml:space="preserve">地 </w:t>
      </w:r>
      <w:r>
        <w:rPr>
          <w:lang w:eastAsia="zh-CN"/>
        </w:rPr>
        <w:t xml:space="preserve">   址：</w:t>
      </w:r>
    </w:p>
    <w:p>
      <w:pPr>
        <w:pStyle w:val="358"/>
        <w:rPr>
          <w:lang w:eastAsia="zh-CN"/>
        </w:rPr>
      </w:pPr>
      <w:r>
        <w:rPr>
          <w:lang w:eastAsia="zh-CN"/>
        </w:rPr>
        <w:t>电   话：</w:t>
      </w:r>
    </w:p>
    <w:p>
      <w:pPr>
        <w:pStyle w:val="358"/>
        <w:rPr>
          <w:lang w:eastAsia="zh-CN"/>
        </w:rPr>
      </w:pPr>
      <w:r>
        <w:rPr>
          <w:rFonts w:hint="eastAsia"/>
          <w:lang w:eastAsia="zh-CN"/>
        </w:rPr>
        <w:t>电子邮箱</w:t>
      </w:r>
      <w:r>
        <w:rPr>
          <w:lang w:eastAsia="zh-CN"/>
        </w:rPr>
        <w:t>：</w:t>
      </w:r>
    </w:p>
    <w:p>
      <w:pPr>
        <w:pStyle w:val="358"/>
        <w:rPr>
          <w:u w:val="single"/>
          <w:lang w:eastAsia="zh-CN"/>
        </w:rPr>
      </w:pPr>
      <w:r>
        <w:rPr>
          <w:rFonts w:hint="eastAsia"/>
          <w:lang w:eastAsia="zh-CN"/>
        </w:rPr>
        <w:t>代表姓名：</w:t>
      </w:r>
    </w:p>
    <w:p>
      <w:pPr>
        <w:pStyle w:val="358"/>
        <w:rPr>
          <w:u w:val="single"/>
          <w:lang w:eastAsia="zh-CN"/>
        </w:rPr>
      </w:pPr>
      <w:r>
        <w:rPr>
          <w:lang w:eastAsia="zh-CN"/>
        </w:rPr>
        <w:t>职    务：</w:t>
      </w:r>
    </w:p>
    <w:p>
      <w:pPr>
        <w:pStyle w:val="358"/>
        <w:rPr>
          <w:lang w:eastAsia="zh-CN"/>
        </w:rPr>
      </w:pPr>
    </w:p>
    <w:p>
      <w:pPr>
        <w:pStyle w:val="358"/>
        <w:wordWrap w:val="0"/>
        <w:spacing w:line="480" w:lineRule="auto"/>
        <w:ind w:firstLine="0" w:firstLineChars="0"/>
        <w:jc w:val="right"/>
        <w:rPr>
          <w:lang w:eastAsia="zh-CN"/>
        </w:rPr>
      </w:pPr>
      <w:bookmarkStart w:id="604" w:name="_Hlk112010154"/>
      <w:r>
        <w:rPr>
          <w:rFonts w:hint="eastAsia"/>
          <w:kern w:val="0"/>
          <w:lang w:eastAsia="zh-CN"/>
        </w:rPr>
        <w:t>供应商</w:t>
      </w:r>
      <w:r>
        <w:rPr>
          <w:rFonts w:hint="eastAsia"/>
          <w:lang w:eastAsia="zh-CN"/>
        </w:rPr>
        <w:t>法定代表人或其授权委托人（签字或盖章）：</w:t>
      </w:r>
    </w:p>
    <w:p>
      <w:pPr>
        <w:pStyle w:val="358"/>
        <w:wordWrap w:val="0"/>
        <w:spacing w:line="480" w:lineRule="auto"/>
        <w:ind w:firstLine="0" w:firstLineChars="0"/>
        <w:jc w:val="right"/>
        <w:rPr>
          <w:lang w:eastAsia="zh-CN"/>
        </w:rPr>
      </w:pPr>
      <w:r>
        <w:rPr>
          <w:rFonts w:hint="eastAsia"/>
          <w:lang w:eastAsia="zh-CN"/>
        </w:rPr>
        <w:t>供应商名称（盖章）：</w:t>
      </w:r>
    </w:p>
    <w:p>
      <w:pPr>
        <w:pStyle w:val="358"/>
        <w:spacing w:line="480" w:lineRule="auto"/>
        <w:ind w:firstLine="4960" w:firstLineChars="2067"/>
        <w:jc w:val="right"/>
        <w:rPr>
          <w:lang w:eastAsia="zh-CN"/>
        </w:rPr>
      </w:pPr>
      <w:r>
        <w:rPr>
          <w:rFonts w:hint="eastAsia"/>
          <w:lang w:eastAsia="zh-CN"/>
        </w:rPr>
        <w:t>日期：</w:t>
      </w:r>
      <w:r>
        <w:rPr>
          <w:lang w:eastAsia="zh-CN"/>
        </w:rPr>
        <w:t>年月日</w:t>
      </w:r>
      <w:bookmarkEnd w:id="604"/>
      <w:bookmarkStart w:id="605" w:name="_Toc425161128"/>
      <w:bookmarkStart w:id="606" w:name="_Toc462677250"/>
      <w:bookmarkStart w:id="607" w:name="_Toc462677251"/>
      <w:bookmarkStart w:id="608" w:name="_Toc259090997"/>
      <w:bookmarkStart w:id="609" w:name="_Toc6322298"/>
      <w:bookmarkStart w:id="610" w:name="_Toc462677236"/>
      <w:bookmarkStart w:id="611" w:name="_Toc259090984"/>
      <w:bookmarkStart w:id="612" w:name="_Toc276645581"/>
      <w:bookmarkStart w:id="613" w:name="_Toc67046896"/>
      <w:r>
        <w:rPr>
          <w:lang w:eastAsia="zh-CN"/>
        </w:rPr>
        <w:br w:type="page"/>
      </w:r>
    </w:p>
    <w:p>
      <w:pPr>
        <w:pStyle w:val="5"/>
        <w:keepNext w:val="0"/>
        <w:keepLines w:val="0"/>
        <w:numPr>
          <w:ilvl w:val="0"/>
          <w:numId w:val="19"/>
        </w:numPr>
        <w:spacing w:before="120" w:after="120" w:line="240" w:lineRule="auto"/>
        <w:rPr>
          <w:rFonts w:ascii="宋体" w:hAnsi="宋体"/>
          <w:szCs w:val="24"/>
        </w:rPr>
      </w:pPr>
      <w:bookmarkStart w:id="614" w:name="_Toc104040703"/>
      <w:r>
        <w:rPr>
          <w:rFonts w:hint="eastAsia" w:ascii="宋体" w:hAnsi="宋体"/>
          <w:szCs w:val="24"/>
        </w:rPr>
        <w:t>首轮报价表</w:t>
      </w:r>
      <w:bookmarkEnd w:id="614"/>
    </w:p>
    <w:p>
      <w:pPr>
        <w:jc w:val="center"/>
        <w:rPr>
          <w:rFonts w:ascii="宋体" w:hAnsi="宋体"/>
          <w:b/>
          <w:bCs/>
          <w:sz w:val="28"/>
          <w:szCs w:val="28"/>
        </w:rPr>
      </w:pPr>
      <w:bookmarkStart w:id="615" w:name="_Hlk112010167"/>
      <w:r>
        <w:rPr>
          <w:rFonts w:hint="eastAsia" w:ascii="宋体" w:hAnsi="宋体"/>
          <w:b/>
          <w:bCs/>
          <w:sz w:val="28"/>
          <w:szCs w:val="28"/>
        </w:rPr>
        <w:t>首轮报价表</w:t>
      </w:r>
    </w:p>
    <w:p>
      <w:pPr>
        <w:rPr>
          <w:rFonts w:ascii="宋体" w:hAnsi="宋体"/>
          <w:bCs/>
          <w:sz w:val="24"/>
        </w:rPr>
      </w:pPr>
      <w:r>
        <w:rPr>
          <w:rFonts w:hint="eastAsia" w:ascii="宋体" w:hAnsi="宋体"/>
          <w:bCs/>
          <w:sz w:val="24"/>
        </w:rPr>
        <w:t>项目名称：</w:t>
      </w:r>
    </w:p>
    <w:p>
      <w:pPr>
        <w:rPr>
          <w:rFonts w:ascii="宋体" w:hAnsi="宋体"/>
          <w:sz w:val="24"/>
        </w:rPr>
      </w:pPr>
      <w:r>
        <w:rPr>
          <w:rFonts w:hint="eastAsia" w:ascii="宋体" w:hAnsi="宋体"/>
          <w:bCs/>
          <w:sz w:val="24"/>
        </w:rPr>
        <w:t>项目编号：</w:t>
      </w:r>
    </w:p>
    <w:tbl>
      <w:tblPr>
        <w:tblStyle w:val="4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81"/>
        <w:gridCol w:w="2335"/>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2640" w:type="pct"/>
            <w:vAlign w:val="center"/>
          </w:tcPr>
          <w:p>
            <w:pPr>
              <w:spacing w:line="240" w:lineRule="auto"/>
              <w:jc w:val="center"/>
              <w:rPr>
                <w:rFonts w:ascii="宋体" w:hAnsi="宋体"/>
                <w:b/>
                <w:bCs/>
                <w:sz w:val="24"/>
              </w:rPr>
            </w:pPr>
            <w:r>
              <w:rPr>
                <w:rFonts w:hint="eastAsia" w:ascii="宋体" w:hAnsi="宋体"/>
                <w:b/>
                <w:bCs/>
                <w:sz w:val="24"/>
              </w:rPr>
              <w:t>响应报价（元）</w:t>
            </w:r>
          </w:p>
        </w:tc>
        <w:tc>
          <w:tcPr>
            <w:tcW w:w="1263" w:type="pct"/>
            <w:vAlign w:val="center"/>
          </w:tcPr>
          <w:p>
            <w:pPr>
              <w:spacing w:line="240" w:lineRule="auto"/>
              <w:jc w:val="center"/>
              <w:rPr>
                <w:rFonts w:ascii="宋体" w:hAnsi="宋体"/>
                <w:b/>
                <w:bCs/>
                <w:sz w:val="24"/>
              </w:rPr>
            </w:pPr>
            <w:r>
              <w:rPr>
                <w:rFonts w:hint="eastAsia" w:ascii="宋体" w:hAnsi="宋体"/>
                <w:b/>
                <w:bCs/>
                <w:sz w:val="24"/>
              </w:rPr>
              <w:t>完工期</w:t>
            </w:r>
          </w:p>
        </w:tc>
        <w:tc>
          <w:tcPr>
            <w:tcW w:w="1096" w:type="pct"/>
            <w:vAlign w:val="center"/>
          </w:tcPr>
          <w:p>
            <w:pPr>
              <w:spacing w:line="240" w:lineRule="auto"/>
              <w:jc w:val="center"/>
              <w:rPr>
                <w:rFonts w:ascii="宋体" w:hAnsi="宋体"/>
                <w:b/>
                <w:bCs/>
                <w:sz w:val="24"/>
              </w:rPr>
            </w:pPr>
            <w:r>
              <w:rPr>
                <w:rFonts w:hint="eastAsia" w:ascii="宋体" w:hAnsi="宋体"/>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2640" w:type="pct"/>
            <w:vAlign w:val="center"/>
          </w:tcPr>
          <w:p>
            <w:pPr>
              <w:spacing w:line="300" w:lineRule="auto"/>
              <w:rPr>
                <w:rFonts w:ascii="宋体" w:hAnsi="宋体"/>
                <w:kern w:val="28"/>
                <w:sz w:val="24"/>
              </w:rPr>
            </w:pPr>
          </w:p>
          <w:p>
            <w:pPr>
              <w:spacing w:line="300" w:lineRule="auto"/>
              <w:rPr>
                <w:rFonts w:ascii="宋体" w:hAnsi="宋体"/>
                <w:kern w:val="28"/>
                <w:sz w:val="24"/>
                <w:u w:val="single"/>
              </w:rPr>
            </w:pPr>
            <w:r>
              <w:rPr>
                <w:rFonts w:hint="eastAsia" w:ascii="宋体" w:hAnsi="宋体"/>
                <w:kern w:val="28"/>
                <w:sz w:val="24"/>
              </w:rPr>
              <w:t>小写：¥</w:t>
            </w:r>
          </w:p>
          <w:p>
            <w:pPr>
              <w:pStyle w:val="48"/>
              <w:spacing w:after="0" w:line="300" w:lineRule="auto"/>
              <w:ind w:left="0" w:leftChars="0" w:firstLine="480"/>
              <w:rPr>
                <w:rFonts w:ascii="宋体" w:hAnsi="宋体"/>
                <w:sz w:val="24"/>
              </w:rPr>
            </w:pPr>
          </w:p>
          <w:p>
            <w:pPr>
              <w:keepLines/>
              <w:spacing w:line="300" w:lineRule="auto"/>
              <w:rPr>
                <w:rFonts w:ascii="宋体" w:hAnsi="宋体"/>
                <w:kern w:val="28"/>
                <w:sz w:val="24"/>
                <w:u w:val="single"/>
              </w:rPr>
            </w:pPr>
            <w:r>
              <w:rPr>
                <w:rFonts w:hint="eastAsia" w:ascii="宋体" w:hAnsi="宋体"/>
                <w:kern w:val="28"/>
                <w:sz w:val="24"/>
              </w:rPr>
              <w:t>大写：人民币</w:t>
            </w:r>
          </w:p>
          <w:p>
            <w:pPr>
              <w:pStyle w:val="48"/>
              <w:spacing w:after="0" w:line="300" w:lineRule="auto"/>
              <w:ind w:left="0" w:leftChars="0" w:firstLine="0" w:firstLineChars="0"/>
              <w:rPr>
                <w:rFonts w:ascii="宋体" w:hAnsi="宋体"/>
                <w:sz w:val="24"/>
              </w:rPr>
            </w:pPr>
          </w:p>
          <w:p>
            <w:pPr>
              <w:pStyle w:val="48"/>
              <w:spacing w:after="0" w:line="300" w:lineRule="auto"/>
              <w:ind w:left="0" w:leftChars="0" w:firstLine="0" w:firstLineChars="0"/>
            </w:pPr>
            <w:r>
              <w:rPr>
                <w:rFonts w:hint="eastAsia" w:ascii="宋体" w:hAnsi="宋体"/>
                <w:sz w:val="24"/>
              </w:rPr>
              <w:t>（其中暂估价¥0.00、暂列金额¥0.00、绿色施工安全防护措施费¥118,464.69）</w:t>
            </w:r>
          </w:p>
        </w:tc>
        <w:tc>
          <w:tcPr>
            <w:tcW w:w="1263" w:type="pct"/>
            <w:vAlign w:val="center"/>
          </w:tcPr>
          <w:p>
            <w:pPr>
              <w:jc w:val="center"/>
              <w:rPr>
                <w:rFonts w:ascii="宋体" w:hAnsi="宋体"/>
                <w:sz w:val="24"/>
              </w:rPr>
            </w:pPr>
          </w:p>
        </w:tc>
        <w:tc>
          <w:tcPr>
            <w:tcW w:w="1096" w:type="pct"/>
            <w:vAlign w:val="center"/>
          </w:tcPr>
          <w:p>
            <w:pPr>
              <w:jc w:val="center"/>
              <w:rPr>
                <w:rFonts w:ascii="宋体" w:hAnsi="宋体"/>
                <w:sz w:val="24"/>
              </w:rPr>
            </w:pPr>
          </w:p>
        </w:tc>
      </w:tr>
    </w:tbl>
    <w:p>
      <w:pPr>
        <w:rPr>
          <w:rFonts w:ascii="宋体" w:hAnsi="宋体"/>
          <w:sz w:val="24"/>
        </w:rPr>
      </w:pPr>
      <w:r>
        <w:rPr>
          <w:rFonts w:hint="eastAsia" w:ascii="宋体" w:hAnsi="宋体"/>
          <w:sz w:val="24"/>
        </w:rPr>
        <w:t>注：</w:t>
      </w:r>
    </w:p>
    <w:p>
      <w:pPr>
        <w:rPr>
          <w:rFonts w:ascii="宋体" w:hAnsi="宋体"/>
          <w:sz w:val="24"/>
        </w:rPr>
      </w:pPr>
      <w:bookmarkStart w:id="616" w:name="_Hlk67046034"/>
      <w:r>
        <w:rPr>
          <w:rFonts w:hint="eastAsia" w:ascii="宋体" w:hAnsi="宋体"/>
          <w:sz w:val="24"/>
        </w:rPr>
        <w:t>1．中文大写金额用汉字，如壹、贰、叁、肆、伍、陆、柒、捌、玖、拾、佰、仟、万、亿、元、角、分、零、整（正）等。</w:t>
      </w:r>
    </w:p>
    <w:p>
      <w:pPr>
        <w:rPr>
          <w:rFonts w:ascii="宋体" w:hAnsi="宋体"/>
          <w:sz w:val="24"/>
        </w:rPr>
      </w:pPr>
      <w:r>
        <w:rPr>
          <w:rFonts w:hint="eastAsia" w:ascii="宋体" w:hAnsi="宋体"/>
          <w:sz w:val="24"/>
        </w:rPr>
        <w:t>2．响应报价的小数点后保留两位有效数。</w:t>
      </w:r>
    </w:p>
    <w:bookmarkEnd w:id="616"/>
    <w:p>
      <w:pPr>
        <w:adjustRightInd w:val="0"/>
        <w:snapToGrid w:val="0"/>
        <w:spacing w:line="300" w:lineRule="auto"/>
        <w:rPr>
          <w:rFonts w:ascii="宋体" w:hAnsi="宋体"/>
          <w:sz w:val="24"/>
        </w:rPr>
      </w:pPr>
      <w:r>
        <w:rPr>
          <w:rFonts w:ascii="宋体" w:hAnsi="宋体"/>
          <w:sz w:val="24"/>
        </w:rPr>
        <w:t>3</w:t>
      </w:r>
      <w:r>
        <w:rPr>
          <w:rFonts w:hint="eastAsia" w:ascii="宋体" w:hAnsi="宋体"/>
          <w:sz w:val="24"/>
        </w:rPr>
        <w:t>．供应商根据提供的工程量清单结合自身实际情况对本项目进行明细报价。</w:t>
      </w:r>
    </w:p>
    <w:p>
      <w:pPr>
        <w:pStyle w:val="21"/>
      </w:pPr>
    </w:p>
    <w:bookmarkEnd w:id="605"/>
    <w:bookmarkEnd w:id="606"/>
    <w:bookmarkEnd w:id="607"/>
    <w:bookmarkEnd w:id="608"/>
    <w:p>
      <w:pPr>
        <w:pStyle w:val="21"/>
        <w:rPr>
          <w:rFonts w:ascii="宋体" w:hAnsi="宋体"/>
          <w:sz w:val="24"/>
        </w:rPr>
      </w:pPr>
    </w:p>
    <w:p>
      <w:pPr>
        <w:pStyle w:val="358"/>
        <w:wordWrap w:val="0"/>
        <w:spacing w:line="480" w:lineRule="auto"/>
        <w:ind w:firstLine="0" w:firstLineChars="0"/>
        <w:jc w:val="right"/>
        <w:rPr>
          <w:rFonts w:hint="eastAsia"/>
          <w:kern w:val="0"/>
          <w:lang w:eastAsia="zh-CN"/>
        </w:rPr>
      </w:pPr>
      <w:r>
        <w:rPr>
          <w:rFonts w:hint="eastAsia"/>
          <w:kern w:val="0"/>
          <w:lang w:eastAsia="zh-CN"/>
        </w:rPr>
        <w:t>供应商法定代表人或其授权委托人（签字或盖章）：</w:t>
      </w:r>
    </w:p>
    <w:p>
      <w:pPr>
        <w:pStyle w:val="358"/>
        <w:wordWrap w:val="0"/>
        <w:spacing w:line="480" w:lineRule="auto"/>
        <w:ind w:firstLine="0" w:firstLineChars="0"/>
        <w:jc w:val="right"/>
        <w:rPr>
          <w:rFonts w:hint="eastAsia"/>
          <w:kern w:val="0"/>
          <w:lang w:eastAsia="zh-CN"/>
        </w:rPr>
      </w:pPr>
      <w:r>
        <w:rPr>
          <w:rFonts w:hint="eastAsia"/>
          <w:kern w:val="0"/>
          <w:lang w:eastAsia="zh-CN"/>
        </w:rPr>
        <w:t>供应商名称（盖章）：</w:t>
      </w:r>
    </w:p>
    <w:p>
      <w:pPr>
        <w:pStyle w:val="358"/>
        <w:wordWrap w:val="0"/>
        <w:spacing w:line="480" w:lineRule="auto"/>
        <w:ind w:firstLine="0" w:firstLineChars="0"/>
        <w:jc w:val="right"/>
        <w:rPr>
          <w:rFonts w:ascii="宋体" w:hAnsi="宋体"/>
          <w:sz w:val="24"/>
        </w:rPr>
      </w:pPr>
      <w:r>
        <w:rPr>
          <w:rFonts w:hint="eastAsia"/>
          <w:kern w:val="0"/>
          <w:lang w:val="en-US" w:eastAsia="zh-CN"/>
        </w:rPr>
        <w:t>日期：年月日</w:t>
      </w:r>
    </w:p>
    <w:bookmarkEnd w:id="615"/>
    <w:p>
      <w:pPr>
        <w:pStyle w:val="21"/>
        <w:rPr>
          <w:rFonts w:ascii="宋体" w:hAnsi="宋体"/>
        </w:rPr>
      </w:pPr>
    </w:p>
    <w:p>
      <w:pPr>
        <w:spacing w:line="240" w:lineRule="auto"/>
        <w:jc w:val="left"/>
        <w:rPr>
          <w:rFonts w:ascii="宋体" w:hAnsi="宋体"/>
        </w:rPr>
      </w:pPr>
      <w:r>
        <w:rPr>
          <w:rFonts w:ascii="宋体" w:hAnsi="宋体"/>
        </w:rPr>
        <w:br w:type="page"/>
      </w:r>
    </w:p>
    <w:p>
      <w:pPr>
        <w:pStyle w:val="5"/>
        <w:keepNext w:val="0"/>
        <w:keepLines w:val="0"/>
        <w:numPr>
          <w:ilvl w:val="0"/>
          <w:numId w:val="19"/>
        </w:numPr>
        <w:spacing w:before="120" w:after="120" w:line="240" w:lineRule="auto"/>
        <w:rPr>
          <w:rFonts w:ascii="宋体" w:hAnsi="宋体"/>
          <w:szCs w:val="24"/>
        </w:rPr>
      </w:pPr>
      <w:r>
        <w:rPr>
          <w:rFonts w:hint="eastAsia" w:ascii="宋体" w:hAnsi="宋体"/>
          <w:szCs w:val="24"/>
        </w:rPr>
        <w:t>首轮报价明细表</w:t>
      </w:r>
    </w:p>
    <w:p>
      <w:pPr>
        <w:pStyle w:val="21"/>
      </w:pPr>
    </w:p>
    <w:p>
      <w:pPr>
        <w:rPr>
          <w:rFonts w:ascii="宋体" w:hAnsi="宋体"/>
          <w:sz w:val="24"/>
        </w:rPr>
      </w:pPr>
      <w:r>
        <w:rPr>
          <w:rFonts w:hint="eastAsia" w:ascii="宋体" w:hAnsi="宋体"/>
          <w:sz w:val="24"/>
        </w:rPr>
        <w:t>注：供应商根据提供的工程量清单结合自身实际情况对本项目进行明细报价。</w:t>
      </w:r>
    </w:p>
    <w:p>
      <w:pPr>
        <w:spacing w:line="240" w:lineRule="auto"/>
        <w:jc w:val="left"/>
        <w:rPr>
          <w:rFonts w:ascii="宋体" w:hAnsi="宋体"/>
        </w:rPr>
      </w:pPr>
      <w:r>
        <w:rPr>
          <w:rFonts w:ascii="宋体" w:hAnsi="宋体"/>
        </w:rPr>
        <w:br w:type="page"/>
      </w:r>
    </w:p>
    <w:p>
      <w:pPr>
        <w:pStyle w:val="5"/>
        <w:keepNext w:val="0"/>
        <w:keepLines w:val="0"/>
        <w:numPr>
          <w:ilvl w:val="0"/>
          <w:numId w:val="19"/>
        </w:numPr>
        <w:spacing w:before="120" w:after="120" w:line="240" w:lineRule="auto"/>
        <w:rPr>
          <w:rFonts w:ascii="宋体" w:hAnsi="宋体"/>
          <w:szCs w:val="24"/>
        </w:rPr>
      </w:pPr>
      <w:bookmarkStart w:id="617" w:name="_Toc104040705"/>
      <w:bookmarkStart w:id="618" w:name="_Toc103033236"/>
      <w:r>
        <w:rPr>
          <w:rFonts w:hint="eastAsia" w:ascii="宋体" w:hAnsi="宋体"/>
          <w:szCs w:val="24"/>
        </w:rPr>
        <w:t>法定代表人证明书</w:t>
      </w:r>
      <w:bookmarkEnd w:id="617"/>
      <w:bookmarkEnd w:id="618"/>
    </w:p>
    <w:p>
      <w:pPr>
        <w:pStyle w:val="360"/>
        <w:jc w:val="left"/>
        <w:outlineLvl w:val="9"/>
        <w:rPr>
          <w:b w:val="0"/>
          <w:bCs w:val="0"/>
          <w:i/>
          <w:iCs/>
          <w:sz w:val="21"/>
          <w:szCs w:val="20"/>
          <w:lang w:eastAsia="zh-CN"/>
        </w:rPr>
      </w:pPr>
      <w:r>
        <w:rPr>
          <w:rFonts w:hint="eastAsia"/>
          <w:b w:val="0"/>
          <w:bCs w:val="0"/>
          <w:i/>
          <w:iCs/>
          <w:sz w:val="21"/>
          <w:szCs w:val="20"/>
          <w:lang w:eastAsia="zh-CN"/>
        </w:rPr>
        <w:t>（供应商可使用下述格式，也可使用广东省工商行政管理局统一印制的法定代表人证明书格式）</w:t>
      </w:r>
    </w:p>
    <w:p>
      <w:pPr>
        <w:pStyle w:val="360"/>
        <w:jc w:val="center"/>
        <w:outlineLvl w:val="9"/>
        <w:rPr>
          <w:sz w:val="28"/>
          <w:szCs w:val="28"/>
          <w:lang w:eastAsia="zh-CN"/>
        </w:rPr>
      </w:pPr>
      <w:r>
        <w:rPr>
          <w:rFonts w:hint="eastAsia"/>
          <w:sz w:val="28"/>
          <w:szCs w:val="28"/>
          <w:lang w:eastAsia="zh-CN"/>
        </w:rPr>
        <w:t>法定代表人证明书</w:t>
      </w:r>
    </w:p>
    <w:p>
      <w:pPr>
        <w:pStyle w:val="358"/>
        <w:ind w:firstLine="0" w:firstLineChars="0"/>
        <w:rPr>
          <w:lang w:eastAsia="zh-CN"/>
        </w:rPr>
      </w:pPr>
    </w:p>
    <w:p>
      <w:pPr>
        <w:pStyle w:val="21"/>
        <w:tabs>
          <w:tab w:val="left" w:pos="1500"/>
          <w:tab w:val="left" w:pos="3223"/>
          <w:tab w:val="left" w:pos="3947"/>
          <w:tab w:val="left" w:pos="7064"/>
        </w:tabs>
        <w:ind w:firstLine="480" w:firstLineChars="200"/>
        <w:rPr>
          <w:rFonts w:ascii="宋体" w:hAnsi="宋体"/>
          <w:sz w:val="24"/>
        </w:rPr>
      </w:pPr>
      <w:r>
        <w:rPr>
          <w:rFonts w:ascii="宋体" w:hAnsi="宋体"/>
          <w:sz w:val="24"/>
        </w:rPr>
        <w:t>现任我单位职务</w:t>
      </w:r>
      <w:r>
        <w:rPr>
          <w:rFonts w:hint="eastAsia" w:ascii="宋体" w:hAnsi="宋体"/>
          <w:sz w:val="24"/>
        </w:rPr>
        <w:t>，</w:t>
      </w:r>
      <w:r>
        <w:rPr>
          <w:rFonts w:ascii="宋体" w:hAnsi="宋体"/>
          <w:sz w:val="24"/>
        </w:rPr>
        <w:t>为法定代表人，特此证明。</w:t>
      </w:r>
    </w:p>
    <w:p>
      <w:pPr>
        <w:pStyle w:val="21"/>
        <w:tabs>
          <w:tab w:val="left" w:pos="1020"/>
          <w:tab w:val="left" w:pos="3223"/>
          <w:tab w:val="left" w:pos="3947"/>
          <w:tab w:val="left" w:pos="7064"/>
        </w:tabs>
        <w:ind w:firstLine="480" w:firstLineChars="200"/>
        <w:rPr>
          <w:rFonts w:ascii="宋体" w:hAnsi="宋体"/>
          <w:sz w:val="24"/>
          <w:u w:val="single"/>
        </w:rPr>
      </w:pPr>
      <w:r>
        <w:rPr>
          <w:rFonts w:ascii="宋体" w:hAnsi="宋体"/>
          <w:sz w:val="24"/>
        </w:rPr>
        <w:t>有效期限：</w:t>
      </w:r>
      <w:bookmarkStart w:id="619" w:name="_Hlk102939377"/>
      <w:r>
        <w:rPr>
          <w:rFonts w:hint="eastAsia" w:ascii="宋体" w:hAnsi="宋体"/>
          <w:sz w:val="24"/>
          <w:u w:val="single"/>
        </w:rPr>
        <w:t>与响应有效期一致。</w:t>
      </w:r>
      <w:bookmarkEnd w:id="619"/>
    </w:p>
    <w:p>
      <w:pPr>
        <w:pStyle w:val="21"/>
        <w:tabs>
          <w:tab w:val="left" w:pos="1020"/>
          <w:tab w:val="left" w:pos="3223"/>
          <w:tab w:val="left" w:pos="3947"/>
          <w:tab w:val="left" w:pos="8505"/>
        </w:tabs>
        <w:ind w:firstLine="480" w:firstLineChars="200"/>
        <w:rPr>
          <w:rFonts w:ascii="宋体" w:hAnsi="宋体"/>
          <w:sz w:val="24"/>
          <w:u w:val="single"/>
        </w:rPr>
      </w:pPr>
      <w:r>
        <w:rPr>
          <w:rFonts w:ascii="宋体" w:hAnsi="宋体"/>
          <w:sz w:val="24"/>
        </w:rPr>
        <w:t>附：代表人性别：年龄：身份证号码：</w:t>
      </w:r>
      <w:r>
        <w:rPr>
          <w:rFonts w:ascii="宋体" w:hAnsi="宋体"/>
          <w:sz w:val="24"/>
          <w:u w:val="single"/>
        </w:rPr>
        <w:t xml:space="preserve">            .</w:t>
      </w:r>
    </w:p>
    <w:p>
      <w:pPr>
        <w:pStyle w:val="21"/>
        <w:tabs>
          <w:tab w:val="left" w:pos="1020"/>
          <w:tab w:val="left" w:pos="3223"/>
          <w:tab w:val="left" w:pos="3947"/>
          <w:tab w:val="left" w:pos="7064"/>
        </w:tabs>
        <w:ind w:firstLine="480" w:firstLineChars="200"/>
        <w:rPr>
          <w:rFonts w:ascii="宋体" w:hAnsi="宋体"/>
          <w:sz w:val="24"/>
          <w:u w:val="single"/>
        </w:rPr>
      </w:pPr>
      <w:r>
        <w:rPr>
          <w:rFonts w:ascii="宋体" w:hAnsi="宋体"/>
          <w:sz w:val="24"/>
        </w:rPr>
        <w:t>注册号码：企业类型：</w:t>
      </w:r>
      <w:r>
        <w:rPr>
          <w:rFonts w:hint="eastAsia" w:ascii="宋体" w:hAnsi="宋体"/>
          <w:sz w:val="24"/>
          <w:u w:val="single"/>
        </w:rPr>
        <w:t>.</w:t>
      </w:r>
    </w:p>
    <w:p>
      <w:pPr>
        <w:pStyle w:val="21"/>
        <w:tabs>
          <w:tab w:val="left" w:pos="1020"/>
          <w:tab w:val="left" w:pos="3223"/>
          <w:tab w:val="left" w:pos="3947"/>
          <w:tab w:val="left" w:pos="7064"/>
        </w:tabs>
        <w:ind w:firstLine="480" w:firstLineChars="200"/>
        <w:rPr>
          <w:rFonts w:ascii="宋体" w:hAnsi="宋体"/>
          <w:sz w:val="24"/>
          <w:u w:val="single"/>
        </w:rPr>
      </w:pPr>
      <w:r>
        <w:rPr>
          <w:rFonts w:ascii="宋体" w:hAnsi="宋体"/>
          <w:sz w:val="24"/>
        </w:rPr>
        <w:t>经营范围：</w:t>
      </w:r>
      <w:r>
        <w:rPr>
          <w:rFonts w:hint="eastAsia" w:ascii="宋体" w:hAnsi="宋体"/>
          <w:sz w:val="24"/>
          <w:u w:val="single"/>
        </w:rPr>
        <w:t>.</w:t>
      </w:r>
    </w:p>
    <w:p>
      <w:pPr>
        <w:pStyle w:val="21"/>
        <w:tabs>
          <w:tab w:val="left" w:pos="1020"/>
          <w:tab w:val="left" w:pos="3223"/>
          <w:tab w:val="left" w:pos="3947"/>
          <w:tab w:val="left" w:pos="7064"/>
        </w:tabs>
        <w:ind w:right="-35"/>
        <w:rPr>
          <w:rFonts w:ascii="宋体" w:hAnsi="宋体"/>
          <w:sz w:val="24"/>
        </w:rPr>
      </w:pPr>
    </w:p>
    <w:p>
      <w:pPr>
        <w:pStyle w:val="21"/>
        <w:tabs>
          <w:tab w:val="left" w:pos="10713"/>
        </w:tabs>
        <w:wordWrap w:val="0"/>
        <w:ind w:left="3223" w:leftChars="1535"/>
        <w:jc w:val="right"/>
        <w:rPr>
          <w:rFonts w:ascii="宋体" w:hAnsi="宋体"/>
          <w:sz w:val="24"/>
        </w:rPr>
      </w:pPr>
      <w:r>
        <w:rPr>
          <w:rFonts w:hint="eastAsia" w:ascii="宋体" w:hAnsi="宋体"/>
          <w:sz w:val="24"/>
        </w:rPr>
        <w:t>供应商名称</w:t>
      </w:r>
      <w:r>
        <w:rPr>
          <w:rFonts w:ascii="宋体" w:hAnsi="宋体"/>
          <w:sz w:val="24"/>
        </w:rPr>
        <w:t>（</w:t>
      </w:r>
      <w:r>
        <w:rPr>
          <w:rFonts w:hint="eastAsia" w:ascii="宋体" w:hAnsi="宋体"/>
          <w:sz w:val="24"/>
        </w:rPr>
        <w:t>盖章</w:t>
      </w:r>
      <w:r>
        <w:rPr>
          <w:rFonts w:ascii="宋体" w:hAnsi="宋体"/>
          <w:sz w:val="24"/>
        </w:rPr>
        <w:t>）：</w:t>
      </w:r>
    </w:p>
    <w:p>
      <w:pPr>
        <w:pStyle w:val="21"/>
        <w:tabs>
          <w:tab w:val="left" w:pos="10713"/>
        </w:tabs>
        <w:wordWrap w:val="0"/>
        <w:jc w:val="right"/>
        <w:rPr>
          <w:rFonts w:ascii="宋体" w:hAnsi="宋体"/>
          <w:sz w:val="24"/>
          <w:u w:val="single"/>
        </w:rPr>
      </w:pPr>
      <w:r>
        <w:rPr>
          <w:rFonts w:ascii="宋体" w:hAnsi="宋体"/>
          <w:sz w:val="24"/>
        </w:rPr>
        <w:t>地址：</w:t>
      </w:r>
    </w:p>
    <w:p>
      <w:pPr>
        <w:pStyle w:val="21"/>
        <w:tabs>
          <w:tab w:val="left" w:pos="10713"/>
        </w:tabs>
        <w:wordWrap w:val="0"/>
        <w:jc w:val="right"/>
        <w:rPr>
          <w:rFonts w:ascii="宋体" w:hAnsi="宋体"/>
          <w:sz w:val="24"/>
          <w:u w:val="single"/>
        </w:rPr>
      </w:pPr>
      <w:r>
        <w:rPr>
          <w:rFonts w:ascii="宋体" w:hAnsi="宋体"/>
          <w:sz w:val="24"/>
        </w:rPr>
        <w:t>法定代表人（签字或盖章）：</w:t>
      </w:r>
    </w:p>
    <w:p>
      <w:pPr>
        <w:pStyle w:val="21"/>
        <w:wordWrap w:val="0"/>
        <w:ind w:left="3223" w:leftChars="1535"/>
        <w:jc w:val="right"/>
        <w:rPr>
          <w:rFonts w:ascii="宋体" w:hAnsi="宋体"/>
          <w:sz w:val="24"/>
        </w:rPr>
      </w:pPr>
      <w:r>
        <w:rPr>
          <w:rFonts w:ascii="宋体" w:hAnsi="宋体"/>
          <w:sz w:val="24"/>
        </w:rPr>
        <w:t>职务：</w:t>
      </w:r>
    </w:p>
    <w:p>
      <w:pPr>
        <w:pStyle w:val="21"/>
        <w:ind w:right="-52"/>
        <w:jc w:val="right"/>
        <w:rPr>
          <w:rFonts w:ascii="宋体" w:hAnsi="宋体"/>
          <w:sz w:val="24"/>
        </w:rPr>
      </w:pPr>
      <w:r>
        <w:rPr>
          <w:rFonts w:ascii="宋体" w:hAnsi="宋体"/>
          <w:sz w:val="24"/>
        </w:rPr>
        <w:t>日期：年月日</w:t>
      </w:r>
    </w:p>
    <w:p>
      <w:pPr>
        <w:spacing w:line="440" w:lineRule="exact"/>
        <w:rPr>
          <w:rFonts w:ascii="宋体" w:hAnsi="宋体"/>
          <w:sz w:val="24"/>
        </w:rPr>
      </w:pPr>
    </w:p>
    <w:p>
      <w:pPr>
        <w:rPr>
          <w:rFonts w:ascii="宋体" w:hAnsi="宋体"/>
          <w:b/>
          <w:sz w:val="24"/>
        </w:rPr>
      </w:pPr>
      <w:bookmarkStart w:id="620" w:name="_Hlk112010324"/>
    </w:p>
    <w:tbl>
      <w:tblPr>
        <w:tblStyle w:val="4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8" w:hRule="atLeast"/>
          <w:jc w:val="center"/>
        </w:trPr>
        <w:tc>
          <w:tcPr>
            <w:tcW w:w="5000" w:type="pct"/>
            <w:vAlign w:val="center"/>
          </w:tcPr>
          <w:p>
            <w:pPr>
              <w:jc w:val="center"/>
              <w:rPr>
                <w:rFonts w:ascii="宋体" w:hAnsi="宋体"/>
                <w:sz w:val="24"/>
              </w:rPr>
            </w:pPr>
            <w:bookmarkStart w:id="621" w:name="_Hlk112010312"/>
            <w:r>
              <w:rPr>
                <w:rFonts w:hint="eastAsia" w:ascii="宋体" w:hAnsi="宋体"/>
                <w:sz w:val="24"/>
              </w:rPr>
              <w:t>法定代表人身份证复印件</w:t>
            </w:r>
          </w:p>
          <w:p>
            <w:pPr>
              <w:jc w:val="center"/>
              <w:rPr>
                <w:rFonts w:ascii="宋体" w:hAnsi="宋体"/>
                <w:b/>
                <w:sz w:val="24"/>
              </w:rPr>
            </w:pPr>
            <w:r>
              <w:rPr>
                <w:rFonts w:hint="eastAsia" w:ascii="宋体" w:hAnsi="宋体"/>
                <w:sz w:val="24"/>
              </w:rPr>
              <w:t>（正、反</w:t>
            </w:r>
            <w:r>
              <w:rPr>
                <w:rFonts w:ascii="宋体" w:hAnsi="宋体"/>
                <w:sz w:val="24"/>
              </w:rPr>
              <w:t>两面</w:t>
            </w:r>
            <w:r>
              <w:rPr>
                <w:rFonts w:hint="eastAsia" w:ascii="宋体" w:hAnsi="宋体"/>
                <w:sz w:val="24"/>
              </w:rPr>
              <w:t>）</w:t>
            </w:r>
          </w:p>
        </w:tc>
      </w:tr>
      <w:bookmarkEnd w:id="621"/>
    </w:tbl>
    <w:p>
      <w:pPr>
        <w:rPr>
          <w:rFonts w:ascii="宋体" w:hAnsi="宋体"/>
          <w:b/>
          <w:szCs w:val="21"/>
        </w:rPr>
      </w:pPr>
    </w:p>
    <w:p>
      <w:pPr>
        <w:rPr>
          <w:rFonts w:ascii="宋体" w:hAnsi="宋体"/>
          <w:bCs/>
          <w:sz w:val="24"/>
        </w:rPr>
      </w:pPr>
      <w:r>
        <w:rPr>
          <w:rFonts w:hint="eastAsia" w:ascii="宋体" w:hAnsi="宋体"/>
          <w:bCs/>
          <w:sz w:val="24"/>
        </w:rPr>
        <w:t>说明：供应商应须提供法定代表人身份证复印件，否则作无效响应处理。</w:t>
      </w:r>
    </w:p>
    <w:bookmarkEnd w:id="620"/>
    <w:p>
      <w:pPr>
        <w:rPr>
          <w:rFonts w:ascii="宋体" w:hAnsi="宋体"/>
          <w:b/>
          <w:sz w:val="24"/>
        </w:rPr>
      </w:pPr>
    </w:p>
    <w:p>
      <w:pPr>
        <w:pStyle w:val="21"/>
        <w:rPr>
          <w:rFonts w:ascii="宋体" w:hAnsi="宋体"/>
          <w:sz w:val="24"/>
        </w:rPr>
      </w:pPr>
    </w:p>
    <w:p>
      <w:pPr>
        <w:pStyle w:val="21"/>
        <w:rPr>
          <w:rFonts w:ascii="宋体" w:hAnsi="宋体"/>
          <w:sz w:val="24"/>
        </w:rPr>
      </w:pPr>
    </w:p>
    <w:p>
      <w:pPr>
        <w:pStyle w:val="5"/>
        <w:keepNext w:val="0"/>
        <w:keepLines w:val="0"/>
        <w:numPr>
          <w:ilvl w:val="0"/>
          <w:numId w:val="19"/>
        </w:numPr>
        <w:spacing w:before="120" w:after="120" w:line="240" w:lineRule="auto"/>
        <w:rPr>
          <w:rFonts w:ascii="宋体" w:hAnsi="宋体"/>
          <w:szCs w:val="24"/>
        </w:rPr>
      </w:pPr>
      <w:r>
        <w:rPr>
          <w:rFonts w:ascii="宋体" w:hAnsi="宋体"/>
          <w:bCs w:val="0"/>
          <w:sz w:val="28"/>
          <w:szCs w:val="28"/>
        </w:rPr>
        <w:br w:type="page"/>
      </w:r>
      <w:bookmarkStart w:id="622" w:name="_Toc103033237"/>
      <w:bookmarkStart w:id="623" w:name="_Toc104040706"/>
      <w:r>
        <w:rPr>
          <w:rFonts w:hint="eastAsia" w:ascii="宋体" w:hAnsi="宋体"/>
          <w:szCs w:val="24"/>
        </w:rPr>
        <w:t>法定代表人授权书</w:t>
      </w:r>
      <w:bookmarkEnd w:id="609"/>
      <w:bookmarkEnd w:id="610"/>
      <w:bookmarkEnd w:id="611"/>
      <w:bookmarkEnd w:id="612"/>
      <w:bookmarkEnd w:id="613"/>
      <w:bookmarkEnd w:id="622"/>
      <w:bookmarkEnd w:id="623"/>
    </w:p>
    <w:p>
      <w:pPr>
        <w:pStyle w:val="360"/>
        <w:jc w:val="left"/>
        <w:outlineLvl w:val="9"/>
        <w:rPr>
          <w:b w:val="0"/>
          <w:bCs w:val="0"/>
          <w:i/>
          <w:iCs/>
          <w:sz w:val="21"/>
          <w:szCs w:val="20"/>
          <w:lang w:eastAsia="zh-CN"/>
        </w:rPr>
      </w:pPr>
      <w:r>
        <w:rPr>
          <w:rFonts w:hint="eastAsia"/>
          <w:b w:val="0"/>
          <w:bCs w:val="0"/>
          <w:i/>
          <w:iCs/>
          <w:sz w:val="21"/>
          <w:szCs w:val="20"/>
          <w:lang w:eastAsia="zh-CN"/>
        </w:rPr>
        <w:t>（对于银行、保险、电信、邮政、铁路等行业以及获得总公司响应授权的分公司，可以提供响应分支机构负责人授权书）</w:t>
      </w:r>
    </w:p>
    <w:p>
      <w:pPr>
        <w:spacing w:line="480" w:lineRule="exact"/>
        <w:jc w:val="center"/>
        <w:rPr>
          <w:rFonts w:ascii="宋体" w:hAnsi="宋体"/>
          <w:b/>
          <w:sz w:val="28"/>
          <w:szCs w:val="28"/>
        </w:rPr>
      </w:pPr>
      <w:r>
        <w:rPr>
          <w:rFonts w:hint="eastAsia" w:ascii="宋体" w:hAnsi="宋体"/>
          <w:b/>
          <w:sz w:val="28"/>
          <w:szCs w:val="28"/>
        </w:rPr>
        <w:t>法定代表人授权书</w:t>
      </w:r>
    </w:p>
    <w:p>
      <w:pPr>
        <w:rPr>
          <w:rFonts w:ascii="宋体" w:hAnsi="宋体"/>
          <w:sz w:val="18"/>
        </w:rPr>
      </w:pPr>
    </w:p>
    <w:p>
      <w:pPr>
        <w:pStyle w:val="21"/>
        <w:rPr>
          <w:rFonts w:ascii="宋体" w:hAnsi="宋体"/>
          <w:sz w:val="24"/>
        </w:rPr>
      </w:pPr>
      <w:r>
        <w:rPr>
          <w:rFonts w:ascii="宋体" w:hAnsi="宋体"/>
          <w:sz w:val="24"/>
        </w:rPr>
        <w:t>致：</w:t>
      </w:r>
      <w:r>
        <w:rPr>
          <w:rFonts w:hint="eastAsia" w:ascii="宋体" w:hAnsi="宋体"/>
          <w:sz w:val="24"/>
          <w:u w:val="single"/>
        </w:rPr>
        <w:t>（采购人名称）</w:t>
      </w:r>
    </w:p>
    <w:p>
      <w:pPr>
        <w:pStyle w:val="21"/>
        <w:tabs>
          <w:tab w:val="left" w:pos="2026"/>
          <w:tab w:val="left" w:pos="3101"/>
          <w:tab w:val="left" w:pos="8808"/>
        </w:tabs>
        <w:ind w:right="221" w:firstLine="384"/>
        <w:rPr>
          <w:rFonts w:ascii="宋体" w:hAnsi="宋体"/>
          <w:sz w:val="24"/>
        </w:rPr>
      </w:pPr>
      <w:r>
        <w:rPr>
          <w:rFonts w:ascii="宋体" w:hAnsi="宋体"/>
          <w:w w:val="105"/>
          <w:sz w:val="24"/>
        </w:rPr>
        <w:t>本授权书声明：</w:t>
      </w:r>
      <w:r>
        <w:rPr>
          <w:rFonts w:ascii="宋体" w:hAnsi="宋体"/>
          <w:w w:val="105"/>
          <w:sz w:val="24"/>
          <w:u w:val="single"/>
        </w:rPr>
        <w:tab/>
      </w:r>
      <w:r>
        <w:rPr>
          <w:rFonts w:ascii="宋体" w:hAnsi="宋体"/>
          <w:sz w:val="24"/>
        </w:rPr>
        <w:t>是注册于</w:t>
      </w:r>
      <w:r>
        <w:rPr>
          <w:rFonts w:ascii="宋体" w:hAnsi="宋体"/>
          <w:sz w:val="24"/>
          <w:u w:val="single"/>
        </w:rPr>
        <w:t>（国家或地区）</w:t>
      </w:r>
      <w:r>
        <w:rPr>
          <w:rFonts w:ascii="宋体" w:hAnsi="宋体"/>
          <w:sz w:val="24"/>
        </w:rPr>
        <w:t>的</w:t>
      </w:r>
      <w:r>
        <w:rPr>
          <w:rFonts w:ascii="宋体" w:hAnsi="宋体"/>
          <w:sz w:val="24"/>
          <w:u w:val="single"/>
        </w:rPr>
        <w:t xml:space="preserve"> （</w:t>
      </w:r>
      <w:r>
        <w:rPr>
          <w:rFonts w:hint="eastAsia" w:ascii="宋体" w:hAnsi="宋体"/>
          <w:sz w:val="24"/>
          <w:u w:val="single"/>
        </w:rPr>
        <w:t>供应商</w:t>
      </w:r>
      <w:r>
        <w:rPr>
          <w:rFonts w:ascii="宋体" w:hAnsi="宋体"/>
          <w:sz w:val="24"/>
          <w:u w:val="single"/>
        </w:rPr>
        <w:t>名称）</w:t>
      </w:r>
      <w:r>
        <w:rPr>
          <w:rFonts w:ascii="宋体" w:hAnsi="宋体"/>
          <w:sz w:val="24"/>
        </w:rPr>
        <w:t>的法定代表人，现任</w:t>
      </w:r>
      <w:r>
        <w:rPr>
          <w:rFonts w:ascii="宋体" w:hAnsi="宋体"/>
          <w:sz w:val="24"/>
          <w:u w:val="single"/>
        </w:rPr>
        <w:tab/>
      </w:r>
      <w:r>
        <w:rPr>
          <w:rFonts w:ascii="宋体" w:hAnsi="宋体"/>
          <w:w w:val="110"/>
          <w:sz w:val="24"/>
        </w:rPr>
        <w:t>职务，有效证件号码：</w:t>
      </w:r>
      <w:r>
        <w:rPr>
          <w:rFonts w:ascii="宋体" w:hAnsi="宋体"/>
          <w:sz w:val="24"/>
        </w:rPr>
        <w:t>。现授权</w:t>
      </w:r>
      <w:r>
        <w:rPr>
          <w:rFonts w:ascii="宋体" w:hAnsi="宋体"/>
          <w:sz w:val="24"/>
          <w:u w:val="single"/>
        </w:rPr>
        <w:t>（姓名、职务）</w:t>
      </w:r>
      <w:r>
        <w:rPr>
          <w:rFonts w:ascii="宋体" w:hAnsi="宋体"/>
          <w:sz w:val="24"/>
        </w:rPr>
        <w:t>作为我公司的全权代理人，就</w:t>
      </w:r>
      <w:r>
        <w:rPr>
          <w:rFonts w:hint="eastAsia" w:ascii="宋体" w:hAnsi="宋体"/>
          <w:sz w:val="24"/>
          <w:u w:val="single"/>
        </w:rPr>
        <w:t>（项目名称）[项目编号： ]</w:t>
      </w:r>
      <w:r>
        <w:rPr>
          <w:rFonts w:hint="eastAsia" w:ascii="宋体" w:hAnsi="宋体"/>
          <w:sz w:val="24"/>
        </w:rPr>
        <w:t>的响应和合同执行，以我方的名义处理一切与之有关的事宜。</w:t>
      </w:r>
    </w:p>
    <w:p>
      <w:pPr>
        <w:pStyle w:val="21"/>
        <w:tabs>
          <w:tab w:val="left" w:pos="2026"/>
          <w:tab w:val="left" w:pos="3101"/>
          <w:tab w:val="left" w:pos="8808"/>
        </w:tabs>
        <w:ind w:right="221" w:firstLine="384"/>
        <w:rPr>
          <w:rFonts w:ascii="宋体" w:hAnsi="宋体"/>
          <w:sz w:val="24"/>
        </w:rPr>
      </w:pPr>
      <w:r>
        <w:rPr>
          <w:rFonts w:ascii="宋体" w:hAnsi="宋体"/>
          <w:sz w:val="24"/>
        </w:rPr>
        <w:t>本授权书于</w:t>
      </w:r>
      <w:r>
        <w:rPr>
          <w:rFonts w:ascii="宋体" w:hAnsi="宋体"/>
          <w:sz w:val="24"/>
          <w:u w:val="single"/>
        </w:rPr>
        <w:tab/>
      </w:r>
      <w:r>
        <w:rPr>
          <w:rFonts w:ascii="宋体" w:hAnsi="宋体"/>
          <w:sz w:val="24"/>
        </w:rPr>
        <w:t>年月日签字生效，特此声明。</w:t>
      </w:r>
    </w:p>
    <w:p>
      <w:pPr>
        <w:pStyle w:val="358"/>
        <w:ind w:firstLine="0" w:firstLineChars="0"/>
        <w:rPr>
          <w:lang w:eastAsia="zh-CN"/>
        </w:rPr>
      </w:pPr>
    </w:p>
    <w:p>
      <w:pPr>
        <w:wordWrap w:val="0"/>
        <w:ind w:left="3518" w:leftChars="1675"/>
        <w:jc w:val="right"/>
        <w:rPr>
          <w:rFonts w:ascii="宋体" w:hAnsi="宋体"/>
          <w:sz w:val="24"/>
        </w:rPr>
      </w:pPr>
      <w:r>
        <w:rPr>
          <w:rFonts w:hint="eastAsia" w:ascii="宋体" w:hAnsi="宋体"/>
          <w:sz w:val="24"/>
        </w:rPr>
        <w:t>供应商名称（盖章）：</w:t>
      </w:r>
      <w:r>
        <w:rPr>
          <w:rFonts w:hint="eastAsia" w:ascii="宋体" w:hAnsi="宋体"/>
          <w:sz w:val="24"/>
          <w:u w:val="single"/>
        </w:rPr>
        <w:tab/>
      </w:r>
    </w:p>
    <w:p>
      <w:pPr>
        <w:wordWrap w:val="0"/>
        <w:ind w:left="3518" w:leftChars="1675"/>
        <w:jc w:val="right"/>
        <w:rPr>
          <w:rFonts w:ascii="宋体" w:hAnsi="宋体"/>
          <w:sz w:val="24"/>
        </w:rPr>
      </w:pPr>
      <w:r>
        <w:rPr>
          <w:rFonts w:hint="eastAsia" w:ascii="宋体" w:hAnsi="宋体"/>
          <w:sz w:val="24"/>
        </w:rPr>
        <w:t>地址：</w:t>
      </w:r>
      <w:r>
        <w:rPr>
          <w:rFonts w:hint="eastAsia" w:ascii="宋体" w:hAnsi="宋体"/>
          <w:sz w:val="24"/>
          <w:u w:val="single"/>
        </w:rPr>
        <w:tab/>
      </w:r>
    </w:p>
    <w:p>
      <w:pPr>
        <w:wordWrap w:val="0"/>
        <w:jc w:val="right"/>
        <w:rPr>
          <w:rFonts w:ascii="宋体" w:hAnsi="宋体"/>
          <w:sz w:val="24"/>
        </w:rPr>
      </w:pPr>
      <w:r>
        <w:rPr>
          <w:rFonts w:hint="eastAsia" w:ascii="宋体" w:hAnsi="宋体"/>
          <w:sz w:val="24"/>
        </w:rPr>
        <w:t>法定代表人（签字或盖章）：</w:t>
      </w:r>
    </w:p>
    <w:p>
      <w:pPr>
        <w:wordWrap w:val="0"/>
        <w:ind w:left="3518" w:leftChars="1675"/>
        <w:jc w:val="right"/>
        <w:rPr>
          <w:rFonts w:ascii="宋体" w:hAnsi="宋体"/>
          <w:sz w:val="24"/>
        </w:rPr>
      </w:pPr>
      <w:r>
        <w:rPr>
          <w:rFonts w:hint="eastAsia" w:ascii="宋体" w:hAnsi="宋体"/>
          <w:sz w:val="24"/>
        </w:rPr>
        <w:t>职务：</w:t>
      </w:r>
      <w:r>
        <w:rPr>
          <w:rFonts w:hint="eastAsia" w:ascii="宋体" w:hAnsi="宋体"/>
          <w:sz w:val="24"/>
          <w:u w:val="single"/>
        </w:rPr>
        <w:tab/>
      </w:r>
    </w:p>
    <w:p>
      <w:pPr>
        <w:wordWrap w:val="0"/>
        <w:jc w:val="right"/>
        <w:rPr>
          <w:rFonts w:ascii="宋体" w:hAnsi="宋体"/>
          <w:sz w:val="24"/>
        </w:rPr>
      </w:pPr>
      <w:r>
        <w:rPr>
          <w:rFonts w:hint="eastAsia" w:ascii="宋体" w:hAnsi="宋体"/>
          <w:sz w:val="24"/>
        </w:rPr>
        <w:t>被授权人（签字或盖章）：</w:t>
      </w:r>
      <w:r>
        <w:rPr>
          <w:rFonts w:hint="eastAsia" w:ascii="宋体" w:hAnsi="宋体"/>
          <w:sz w:val="24"/>
          <w:u w:val="single"/>
        </w:rPr>
        <w:tab/>
      </w:r>
    </w:p>
    <w:p>
      <w:pPr>
        <w:wordWrap w:val="0"/>
        <w:ind w:left="3518" w:leftChars="1675"/>
        <w:jc w:val="right"/>
        <w:rPr>
          <w:rFonts w:ascii="宋体" w:hAnsi="宋体"/>
          <w:sz w:val="24"/>
        </w:rPr>
      </w:pPr>
      <w:r>
        <w:rPr>
          <w:rFonts w:hint="eastAsia" w:ascii="宋体" w:hAnsi="宋体"/>
          <w:sz w:val="24"/>
        </w:rPr>
        <w:t>职务：</w:t>
      </w:r>
      <w:r>
        <w:rPr>
          <w:rFonts w:hint="eastAsia" w:ascii="宋体" w:hAnsi="宋体"/>
          <w:sz w:val="24"/>
          <w:u w:val="single"/>
        </w:rPr>
        <w:tab/>
      </w:r>
    </w:p>
    <w:p>
      <w:pPr>
        <w:jc w:val="right"/>
        <w:rPr>
          <w:rFonts w:ascii="宋体" w:hAnsi="宋体"/>
          <w:sz w:val="24"/>
        </w:rPr>
      </w:pPr>
      <w:r>
        <w:rPr>
          <w:rFonts w:hint="eastAsia" w:ascii="宋体" w:hAnsi="宋体"/>
          <w:sz w:val="24"/>
        </w:rPr>
        <w:t>日期：</w:t>
      </w:r>
      <w:r>
        <w:rPr>
          <w:rFonts w:hint="eastAsia" w:ascii="宋体" w:hAnsi="宋体"/>
          <w:sz w:val="24"/>
          <w:u w:val="single"/>
        </w:rPr>
        <w:tab/>
      </w:r>
      <w:r>
        <w:rPr>
          <w:rFonts w:hint="eastAsia" w:ascii="宋体" w:hAnsi="宋体"/>
          <w:sz w:val="24"/>
        </w:rPr>
        <w:t>年</w:t>
      </w:r>
      <w:r>
        <w:rPr>
          <w:rFonts w:hint="eastAsia" w:ascii="宋体" w:hAnsi="宋体"/>
          <w:sz w:val="24"/>
          <w:u w:val="single"/>
        </w:rPr>
        <w:tab/>
      </w:r>
      <w:r>
        <w:rPr>
          <w:rFonts w:hint="eastAsia" w:ascii="宋体" w:hAnsi="宋体"/>
          <w:sz w:val="24"/>
        </w:rPr>
        <w:t>月</w:t>
      </w:r>
      <w:r>
        <w:rPr>
          <w:rFonts w:hint="eastAsia" w:ascii="宋体" w:hAnsi="宋体"/>
          <w:sz w:val="24"/>
          <w:u w:val="single"/>
        </w:rPr>
        <w:tab/>
      </w:r>
      <w:r>
        <w:rPr>
          <w:rFonts w:hint="eastAsia" w:ascii="宋体" w:hAnsi="宋体"/>
          <w:sz w:val="24"/>
        </w:rPr>
        <w:t>日</w:t>
      </w:r>
    </w:p>
    <w:p>
      <w:pPr>
        <w:rPr>
          <w:rFonts w:ascii="宋体" w:hAnsi="宋体"/>
          <w:b/>
          <w:szCs w:val="21"/>
        </w:rPr>
      </w:pPr>
    </w:p>
    <w:tbl>
      <w:tblPr>
        <w:tblStyle w:val="49"/>
        <w:tblpPr w:leftFromText="180" w:rightFromText="180" w:vertAnchor="text" w:horzAnchor="margin" w:tblpXSpec="center" w:tblpY="4"/>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3" w:hRule="exact"/>
        </w:trPr>
        <w:tc>
          <w:tcPr>
            <w:tcW w:w="5000" w:type="pct"/>
            <w:vAlign w:val="center"/>
          </w:tcPr>
          <w:p>
            <w:pPr>
              <w:jc w:val="center"/>
              <w:rPr>
                <w:rFonts w:ascii="宋体" w:hAnsi="宋体"/>
                <w:sz w:val="24"/>
              </w:rPr>
            </w:pPr>
            <w:r>
              <w:rPr>
                <w:rFonts w:hint="eastAsia" w:ascii="宋体" w:hAnsi="宋体"/>
                <w:sz w:val="24"/>
              </w:rPr>
              <w:t>被授权人身份证复印件</w:t>
            </w:r>
          </w:p>
          <w:p>
            <w:pPr>
              <w:jc w:val="center"/>
              <w:rPr>
                <w:rFonts w:ascii="宋体" w:hAnsi="宋体"/>
              </w:rPr>
            </w:pPr>
            <w:r>
              <w:rPr>
                <w:rFonts w:hint="eastAsia" w:ascii="宋体" w:hAnsi="宋体"/>
                <w:sz w:val="24"/>
              </w:rPr>
              <w:t>（正、反</w:t>
            </w:r>
            <w:r>
              <w:rPr>
                <w:rFonts w:ascii="宋体" w:hAnsi="宋体"/>
                <w:sz w:val="24"/>
              </w:rPr>
              <w:t>两面</w:t>
            </w:r>
            <w:r>
              <w:rPr>
                <w:rFonts w:hint="eastAsia" w:ascii="宋体" w:hAnsi="宋体"/>
                <w:sz w:val="24"/>
              </w:rPr>
              <w:t>）</w:t>
            </w:r>
          </w:p>
        </w:tc>
      </w:tr>
    </w:tbl>
    <w:p>
      <w:pPr>
        <w:rPr>
          <w:rFonts w:ascii="宋体" w:hAnsi="宋体"/>
          <w:b/>
          <w:bCs/>
          <w:szCs w:val="22"/>
        </w:rPr>
      </w:pPr>
    </w:p>
    <w:p>
      <w:pPr>
        <w:rPr>
          <w:rFonts w:ascii="宋体" w:hAnsi="宋体"/>
          <w:b/>
          <w:bCs/>
          <w:sz w:val="24"/>
          <w:szCs w:val="28"/>
        </w:rPr>
      </w:pPr>
      <w:r>
        <w:rPr>
          <w:rFonts w:hint="eastAsia" w:ascii="宋体" w:hAnsi="宋体"/>
          <w:b/>
          <w:bCs/>
          <w:sz w:val="24"/>
          <w:szCs w:val="28"/>
        </w:rPr>
        <w:t>说明：</w:t>
      </w:r>
    </w:p>
    <w:p>
      <w:pPr>
        <w:rPr>
          <w:rFonts w:ascii="宋体" w:hAnsi="宋体"/>
          <w:sz w:val="24"/>
          <w:szCs w:val="28"/>
        </w:rPr>
      </w:pPr>
      <w:r>
        <w:rPr>
          <w:rFonts w:hint="eastAsia" w:ascii="宋体" w:hAnsi="宋体"/>
          <w:sz w:val="24"/>
          <w:szCs w:val="28"/>
        </w:rPr>
        <w:t>1.响应代表为法定代表人，则本表不需提供。</w:t>
      </w:r>
    </w:p>
    <w:p>
      <w:pPr>
        <w:rPr>
          <w:rFonts w:ascii="宋体" w:hAnsi="宋体"/>
          <w:b/>
          <w:sz w:val="28"/>
          <w:szCs w:val="28"/>
        </w:rPr>
      </w:pPr>
      <w:r>
        <w:rPr>
          <w:rFonts w:ascii="宋体" w:hAnsi="宋体"/>
          <w:sz w:val="24"/>
          <w:szCs w:val="28"/>
        </w:rPr>
        <w:t>2</w:t>
      </w:r>
      <w:r>
        <w:rPr>
          <w:rFonts w:hint="eastAsia" w:ascii="宋体" w:hAnsi="宋体"/>
          <w:sz w:val="24"/>
          <w:szCs w:val="28"/>
        </w:rPr>
        <w:t>.响应代表为法定代表人授权委托人的，须提供被授权人身份证复印件，否则作无效响应处理。</w:t>
      </w:r>
      <w:r>
        <w:rPr>
          <w:rFonts w:ascii="宋体" w:hAnsi="宋体"/>
          <w:b/>
          <w:sz w:val="28"/>
          <w:szCs w:val="28"/>
        </w:rPr>
        <w:br w:type="page"/>
      </w:r>
    </w:p>
    <w:p>
      <w:pPr>
        <w:pStyle w:val="5"/>
        <w:keepNext w:val="0"/>
        <w:keepLines w:val="0"/>
        <w:numPr>
          <w:ilvl w:val="0"/>
          <w:numId w:val="19"/>
        </w:numPr>
        <w:spacing w:before="120" w:after="120" w:line="240" w:lineRule="auto"/>
        <w:rPr>
          <w:rFonts w:ascii="宋体" w:hAnsi="宋体"/>
          <w:szCs w:val="24"/>
        </w:rPr>
      </w:pPr>
      <w:bookmarkStart w:id="624" w:name="_Toc103033238"/>
      <w:bookmarkStart w:id="625" w:name="_Toc102936923"/>
      <w:bookmarkStart w:id="626" w:name="_Toc104040707"/>
      <w:r>
        <w:rPr>
          <w:rFonts w:hint="eastAsia" w:ascii="宋体" w:hAnsi="宋体"/>
          <w:szCs w:val="24"/>
        </w:rPr>
        <w:t>提供具有独立承担民事责任的能力的证明材料</w:t>
      </w:r>
      <w:bookmarkEnd w:id="624"/>
      <w:bookmarkEnd w:id="625"/>
      <w:bookmarkEnd w:id="626"/>
    </w:p>
    <w:p>
      <w:pPr>
        <w:rPr>
          <w:rFonts w:ascii="宋体" w:hAnsi="宋体" w:cs="宋体"/>
          <w:i/>
          <w:iCs/>
          <w:szCs w:val="21"/>
        </w:rPr>
      </w:pPr>
      <w:r>
        <w:rPr>
          <w:rFonts w:hint="eastAsia" w:ascii="宋体" w:hAnsi="宋体" w:cs="宋体"/>
          <w:i/>
          <w:iCs/>
          <w:szCs w:val="21"/>
        </w:rPr>
        <w:t>（按照采购文件的资格要求提供相关材料）</w:t>
      </w:r>
    </w:p>
    <w:p>
      <w:r>
        <w:br w:type="page"/>
      </w:r>
    </w:p>
    <w:p>
      <w:pPr>
        <w:pStyle w:val="5"/>
        <w:keepNext w:val="0"/>
        <w:keepLines w:val="0"/>
        <w:numPr>
          <w:ilvl w:val="0"/>
          <w:numId w:val="19"/>
        </w:numPr>
        <w:spacing w:before="120" w:after="120" w:line="240" w:lineRule="auto"/>
        <w:rPr>
          <w:rFonts w:ascii="宋体" w:hAnsi="宋体"/>
          <w:szCs w:val="24"/>
        </w:rPr>
      </w:pPr>
      <w:bookmarkStart w:id="627" w:name="_Toc104040711"/>
      <w:r>
        <w:rPr>
          <w:rFonts w:hint="eastAsia" w:ascii="宋体" w:hAnsi="宋体"/>
          <w:szCs w:val="24"/>
        </w:rPr>
        <w:t>关于资格的声明函</w:t>
      </w:r>
      <w:bookmarkEnd w:id="627"/>
    </w:p>
    <w:p>
      <w:pPr>
        <w:jc w:val="center"/>
        <w:rPr>
          <w:rFonts w:ascii="宋体" w:hAnsi="宋体" w:cs="宋体"/>
          <w:b/>
          <w:bCs/>
          <w:sz w:val="28"/>
          <w:szCs w:val="22"/>
        </w:rPr>
      </w:pPr>
      <w:r>
        <w:rPr>
          <w:rFonts w:hint="eastAsia" w:ascii="宋体" w:hAnsi="宋体" w:cs="宋体"/>
          <w:b/>
          <w:bCs/>
          <w:sz w:val="28"/>
          <w:szCs w:val="22"/>
        </w:rPr>
        <w:t>关于资格的声明函</w:t>
      </w:r>
    </w:p>
    <w:p>
      <w:pPr>
        <w:pStyle w:val="358"/>
        <w:spacing w:line="400" w:lineRule="exact"/>
        <w:ind w:firstLine="0" w:firstLineChars="0"/>
        <w:rPr>
          <w:lang w:eastAsia="zh-CN"/>
        </w:rPr>
      </w:pPr>
      <w:r>
        <w:rPr>
          <w:rFonts w:hint="eastAsia"/>
          <w:lang w:eastAsia="zh-CN"/>
        </w:rPr>
        <w:t>致：</w:t>
      </w:r>
      <w:r>
        <w:rPr>
          <w:rFonts w:hint="eastAsia"/>
          <w:u w:val="single"/>
        </w:rPr>
        <w:t xml:space="preserve">      （采购人名称）</w:t>
      </w:r>
    </w:p>
    <w:p>
      <w:pPr>
        <w:spacing w:line="400" w:lineRule="exact"/>
        <w:ind w:firstLine="480" w:firstLineChars="200"/>
        <w:rPr>
          <w:rFonts w:ascii="宋体" w:hAnsi="宋体"/>
          <w:sz w:val="24"/>
        </w:rPr>
      </w:pPr>
      <w:r>
        <w:rPr>
          <w:rFonts w:hint="eastAsia" w:ascii="宋体" w:hAnsi="宋体"/>
          <w:sz w:val="24"/>
        </w:rPr>
        <w:t>你方组织的</w:t>
      </w:r>
      <w:r>
        <w:rPr>
          <w:rFonts w:ascii="宋体" w:hAnsi="宋体"/>
          <w:sz w:val="24"/>
          <w:u w:val="single"/>
        </w:rPr>
        <w:t xml:space="preserve">        （项目名称）</w:t>
      </w:r>
      <w:r>
        <w:rPr>
          <w:rFonts w:ascii="宋体" w:hAnsi="宋体"/>
          <w:sz w:val="24"/>
        </w:rPr>
        <w:t>[项目编号：]的</w:t>
      </w:r>
      <w:r>
        <w:rPr>
          <w:rFonts w:hint="eastAsia" w:ascii="宋体" w:hAnsi="宋体"/>
          <w:sz w:val="24"/>
        </w:rPr>
        <w:t>采购</w:t>
      </w:r>
      <w:r>
        <w:rPr>
          <w:rFonts w:ascii="宋体" w:hAnsi="宋体"/>
          <w:sz w:val="24"/>
        </w:rPr>
        <w:t>，我方</w:t>
      </w:r>
      <w:r>
        <w:rPr>
          <w:rFonts w:hint="eastAsia" w:ascii="宋体" w:hAnsi="宋体"/>
          <w:sz w:val="24"/>
        </w:rPr>
        <w:t>愿意</w:t>
      </w:r>
      <w:r>
        <w:rPr>
          <w:rFonts w:ascii="宋体" w:hAnsi="宋体"/>
          <w:sz w:val="24"/>
        </w:rPr>
        <w:t>参与</w:t>
      </w:r>
      <w:r>
        <w:rPr>
          <w:rFonts w:hint="eastAsia" w:ascii="宋体" w:hAnsi="宋体"/>
          <w:sz w:val="24"/>
        </w:rPr>
        <w:t>响应，并就资格要求进行如下声明：</w:t>
      </w:r>
    </w:p>
    <w:p>
      <w:pPr>
        <w:spacing w:line="400" w:lineRule="exact"/>
        <w:ind w:firstLine="480" w:firstLineChars="200"/>
        <w:rPr>
          <w:rFonts w:ascii="宋体" w:hAnsi="宋体"/>
          <w:sz w:val="24"/>
        </w:rPr>
      </w:pPr>
      <w:r>
        <w:rPr>
          <w:rFonts w:ascii="宋体" w:hAnsi="宋体"/>
          <w:sz w:val="24"/>
        </w:rPr>
        <w:t>1.</w:t>
      </w:r>
      <w:r>
        <w:rPr>
          <w:rFonts w:hint="eastAsia" w:ascii="宋体" w:hAnsi="宋体"/>
          <w:sz w:val="24"/>
        </w:rPr>
        <w:t>我方具备以下</w:t>
      </w:r>
      <w:r>
        <w:rPr>
          <w:rFonts w:ascii="宋体" w:hAnsi="宋体"/>
          <w:sz w:val="24"/>
        </w:rPr>
        <w:t>条件</w:t>
      </w:r>
      <w:r>
        <w:rPr>
          <w:rFonts w:hint="eastAsia" w:ascii="宋体" w:hAnsi="宋体"/>
          <w:sz w:val="24"/>
        </w:rPr>
        <w:t>：</w:t>
      </w:r>
    </w:p>
    <w:p>
      <w:pPr>
        <w:spacing w:line="400" w:lineRule="exact"/>
        <w:ind w:firstLine="480" w:firstLineChars="200"/>
        <w:rPr>
          <w:rFonts w:ascii="宋体" w:hAnsi="宋体"/>
          <w:sz w:val="24"/>
        </w:rPr>
      </w:pPr>
      <w:r>
        <w:rPr>
          <w:rFonts w:hint="eastAsia" w:ascii="宋体" w:hAnsi="宋体"/>
          <w:sz w:val="24"/>
        </w:rPr>
        <w:t>1.</w:t>
      </w:r>
      <w:bookmarkStart w:id="628" w:name="_Hlk24378204"/>
      <w:r>
        <w:rPr>
          <w:rFonts w:ascii="宋体" w:hAnsi="宋体"/>
          <w:sz w:val="24"/>
        </w:rPr>
        <w:t xml:space="preserve">1 </w:t>
      </w:r>
      <w:r>
        <w:rPr>
          <w:rFonts w:hint="eastAsia" w:ascii="宋体" w:hAnsi="宋体"/>
          <w:sz w:val="24"/>
        </w:rPr>
        <w:t>有依法缴纳税收和社会保障资金的良好记录；</w:t>
      </w:r>
    </w:p>
    <w:p>
      <w:pPr>
        <w:spacing w:line="400" w:lineRule="exact"/>
        <w:ind w:firstLine="480" w:firstLineChars="200"/>
        <w:rPr>
          <w:rFonts w:ascii="宋体" w:hAnsi="宋体"/>
          <w:sz w:val="24"/>
        </w:rPr>
      </w:pPr>
      <w:r>
        <w:rPr>
          <w:rFonts w:ascii="宋体" w:hAnsi="宋体"/>
          <w:sz w:val="24"/>
        </w:rPr>
        <w:t xml:space="preserve">1.2 </w:t>
      </w:r>
      <w:r>
        <w:rPr>
          <w:rFonts w:hint="eastAsia" w:ascii="宋体" w:hAnsi="宋体"/>
          <w:sz w:val="24"/>
        </w:rPr>
        <w:t>具有良好的商业信誉和健全的财务会计制度；</w:t>
      </w:r>
      <w:bookmarkEnd w:id="628"/>
    </w:p>
    <w:p>
      <w:pPr>
        <w:spacing w:line="400" w:lineRule="exact"/>
        <w:ind w:firstLine="480" w:firstLineChars="200"/>
        <w:rPr>
          <w:rFonts w:ascii="宋体" w:hAnsi="宋体"/>
          <w:sz w:val="24"/>
        </w:rPr>
      </w:pPr>
      <w:r>
        <w:rPr>
          <w:rFonts w:ascii="宋体" w:hAnsi="宋体"/>
          <w:sz w:val="24"/>
        </w:rPr>
        <w:t xml:space="preserve">1.3 </w:t>
      </w:r>
      <w:r>
        <w:rPr>
          <w:rFonts w:hint="eastAsia" w:ascii="宋体" w:hAnsi="宋体"/>
          <w:sz w:val="24"/>
        </w:rPr>
        <w:t>具有履行合同所必需的设备和专业技术能力；</w:t>
      </w:r>
    </w:p>
    <w:p>
      <w:pPr>
        <w:spacing w:line="400" w:lineRule="exact"/>
        <w:ind w:firstLine="480" w:firstLineChars="200"/>
        <w:rPr>
          <w:rFonts w:ascii="宋体" w:hAnsi="宋体"/>
          <w:sz w:val="24"/>
        </w:rPr>
      </w:pPr>
      <w:r>
        <w:rPr>
          <w:rFonts w:ascii="宋体" w:hAnsi="宋体"/>
          <w:sz w:val="24"/>
        </w:rPr>
        <w:t xml:space="preserve">1.4 </w:t>
      </w:r>
      <w:r>
        <w:rPr>
          <w:rFonts w:hint="eastAsia" w:ascii="宋体" w:hAnsi="宋体"/>
          <w:sz w:val="24"/>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spacing w:line="400" w:lineRule="exact"/>
        <w:ind w:firstLine="480" w:firstLineChars="200"/>
        <w:rPr>
          <w:rFonts w:ascii="宋体" w:hAnsi="宋体"/>
          <w:sz w:val="24"/>
        </w:rPr>
      </w:pPr>
      <w:r>
        <w:rPr>
          <w:rFonts w:hint="eastAsia" w:ascii="宋体" w:hAnsi="宋体"/>
          <w:sz w:val="24"/>
        </w:rPr>
        <w:t>2</w:t>
      </w:r>
      <w:r>
        <w:rPr>
          <w:rFonts w:ascii="宋体" w:hAnsi="宋体"/>
          <w:sz w:val="24"/>
        </w:rPr>
        <w:t>.我方符合法律、行政法规规定的其他条件</w:t>
      </w:r>
      <w:r>
        <w:rPr>
          <w:rFonts w:hint="eastAsia" w:ascii="宋体" w:hAnsi="宋体"/>
          <w:sz w:val="24"/>
        </w:rPr>
        <w:t>：</w:t>
      </w:r>
    </w:p>
    <w:p>
      <w:pPr>
        <w:spacing w:line="400" w:lineRule="exact"/>
        <w:ind w:firstLine="480" w:firstLineChars="200"/>
        <w:rPr>
          <w:rFonts w:ascii="宋体" w:hAnsi="宋体"/>
          <w:sz w:val="24"/>
        </w:rPr>
      </w:pPr>
      <w:r>
        <w:rPr>
          <w:rFonts w:hint="eastAsia" w:ascii="宋体" w:hAnsi="宋体"/>
          <w:sz w:val="24"/>
        </w:rPr>
        <w:t>（1）我方与其他投标人不存在单位负责人为同一人或者存在直接控股、管理关系。</w:t>
      </w:r>
    </w:p>
    <w:p>
      <w:pPr>
        <w:spacing w:line="400" w:lineRule="exact"/>
        <w:ind w:firstLine="480" w:firstLineChars="200"/>
        <w:rPr>
          <w:rFonts w:ascii="宋体" w:hAnsi="宋体"/>
          <w:sz w:val="24"/>
        </w:rPr>
      </w:pPr>
      <w:r>
        <w:rPr>
          <w:rFonts w:hint="eastAsia" w:ascii="宋体" w:hAnsi="宋体"/>
          <w:sz w:val="24"/>
        </w:rPr>
        <w:t>（2）我方声明未为本项目提供整体设计、规范编制或者项目管理、监理、检测等服务。</w:t>
      </w:r>
    </w:p>
    <w:p>
      <w:pPr>
        <w:spacing w:line="400" w:lineRule="exact"/>
        <w:ind w:firstLine="480" w:firstLineChars="200"/>
        <w:rPr>
          <w:rFonts w:ascii="宋体" w:hAnsi="宋体"/>
          <w:sz w:val="24"/>
        </w:rPr>
      </w:pPr>
      <w:r>
        <w:rPr>
          <w:rFonts w:hint="eastAsia" w:ascii="宋体" w:hAnsi="宋体"/>
          <w:sz w:val="24"/>
        </w:rPr>
        <w:t>本</w:t>
      </w:r>
      <w:r>
        <w:rPr>
          <w:rFonts w:ascii="宋体" w:hAnsi="宋体"/>
          <w:sz w:val="24"/>
        </w:rPr>
        <w:t>单位</w:t>
      </w:r>
      <w:r>
        <w:rPr>
          <w:rFonts w:hint="eastAsia" w:ascii="宋体" w:hAnsi="宋体"/>
          <w:sz w:val="24"/>
        </w:rPr>
        <w:t>声明在本次采购</w:t>
      </w:r>
      <w:r>
        <w:rPr>
          <w:rFonts w:ascii="宋体" w:hAnsi="宋体"/>
          <w:sz w:val="24"/>
        </w:rPr>
        <w:t>活动中</w:t>
      </w:r>
      <w:r>
        <w:rPr>
          <w:rFonts w:hint="eastAsia" w:ascii="宋体" w:hAnsi="宋体"/>
          <w:sz w:val="24"/>
        </w:rPr>
        <w:t>如有</w:t>
      </w:r>
      <w:r>
        <w:rPr>
          <w:rFonts w:ascii="宋体" w:hAnsi="宋体"/>
          <w:sz w:val="24"/>
        </w:rPr>
        <w:t>违法、</w:t>
      </w:r>
      <w:r>
        <w:rPr>
          <w:rFonts w:hint="eastAsia" w:ascii="宋体" w:hAnsi="宋体"/>
          <w:sz w:val="24"/>
        </w:rPr>
        <w:t>违规、弄虚作假</w:t>
      </w:r>
      <w:r>
        <w:rPr>
          <w:rFonts w:ascii="宋体" w:hAnsi="宋体"/>
          <w:sz w:val="24"/>
        </w:rPr>
        <w:t>行为</w:t>
      </w:r>
      <w:r>
        <w:rPr>
          <w:rFonts w:hint="eastAsia" w:ascii="宋体" w:hAnsi="宋体"/>
          <w:sz w:val="24"/>
        </w:rPr>
        <w:t>，所</w:t>
      </w:r>
      <w:r>
        <w:rPr>
          <w:rFonts w:ascii="宋体" w:hAnsi="宋体"/>
          <w:sz w:val="24"/>
        </w:rPr>
        <w:t>造成的损失</w:t>
      </w:r>
      <w:r>
        <w:rPr>
          <w:rFonts w:hint="eastAsia" w:ascii="宋体" w:hAnsi="宋体"/>
          <w:sz w:val="24"/>
        </w:rPr>
        <w:t>、</w:t>
      </w:r>
      <w:r>
        <w:rPr>
          <w:rFonts w:ascii="宋体" w:hAnsi="宋体"/>
          <w:sz w:val="24"/>
        </w:rPr>
        <w:t>不良</w:t>
      </w:r>
      <w:r>
        <w:rPr>
          <w:rFonts w:hint="eastAsia" w:ascii="宋体" w:hAnsi="宋体"/>
          <w:sz w:val="24"/>
        </w:rPr>
        <w:t>后果及</w:t>
      </w:r>
      <w:r>
        <w:rPr>
          <w:rFonts w:ascii="宋体" w:hAnsi="宋体"/>
          <w:sz w:val="24"/>
        </w:rPr>
        <w:t>法律责任</w:t>
      </w:r>
      <w:r>
        <w:rPr>
          <w:rFonts w:hint="eastAsia" w:ascii="宋体" w:hAnsi="宋体"/>
          <w:sz w:val="24"/>
        </w:rPr>
        <w:t>，</w:t>
      </w:r>
      <w:r>
        <w:rPr>
          <w:rFonts w:ascii="宋体" w:hAnsi="宋体"/>
          <w:sz w:val="24"/>
        </w:rPr>
        <w:t>一律由</w:t>
      </w:r>
      <w:r>
        <w:rPr>
          <w:rFonts w:hint="eastAsia" w:ascii="宋体" w:hAnsi="宋体"/>
          <w:sz w:val="24"/>
        </w:rPr>
        <w:t>我方</w:t>
      </w:r>
      <w:r>
        <w:rPr>
          <w:rFonts w:ascii="宋体" w:hAnsi="宋体"/>
          <w:sz w:val="24"/>
        </w:rPr>
        <w:t>承担。</w:t>
      </w:r>
    </w:p>
    <w:p>
      <w:pPr>
        <w:spacing w:line="400" w:lineRule="exact"/>
        <w:ind w:firstLine="480" w:firstLineChars="200"/>
        <w:rPr>
          <w:rFonts w:ascii="宋体" w:hAnsi="宋体"/>
          <w:sz w:val="24"/>
        </w:rPr>
      </w:pPr>
      <w:r>
        <w:rPr>
          <w:rFonts w:hint="eastAsia" w:ascii="宋体" w:hAnsi="宋体"/>
          <w:sz w:val="24"/>
        </w:rPr>
        <w:t>特此声明</w:t>
      </w:r>
      <w:r>
        <w:rPr>
          <w:rFonts w:ascii="宋体" w:hAnsi="宋体"/>
          <w:sz w:val="24"/>
        </w:rPr>
        <w:t>！</w:t>
      </w:r>
    </w:p>
    <w:p>
      <w:pPr>
        <w:pStyle w:val="48"/>
        <w:ind w:firstLine="480"/>
        <w:jc w:val="right"/>
        <w:rPr>
          <w:rFonts w:ascii="宋体" w:hAnsi="宋体"/>
          <w:sz w:val="24"/>
          <w:szCs w:val="32"/>
        </w:rPr>
      </w:pPr>
    </w:p>
    <w:p>
      <w:pPr>
        <w:pStyle w:val="358"/>
        <w:wordWrap w:val="0"/>
        <w:spacing w:line="480" w:lineRule="auto"/>
        <w:ind w:firstLine="0" w:firstLineChars="0"/>
        <w:jc w:val="right"/>
        <w:rPr>
          <w:lang w:eastAsia="zh-CN"/>
        </w:rPr>
      </w:pPr>
      <w:r>
        <w:rPr>
          <w:rFonts w:hint="eastAsia"/>
          <w:kern w:val="0"/>
          <w:lang w:eastAsia="zh-CN"/>
        </w:rPr>
        <w:t>供应商</w:t>
      </w:r>
      <w:r>
        <w:rPr>
          <w:rFonts w:hint="eastAsia"/>
          <w:lang w:eastAsia="zh-CN"/>
        </w:rPr>
        <w:t>法定代表人或其授权委托人（签字或盖章）：</w:t>
      </w:r>
    </w:p>
    <w:p>
      <w:pPr>
        <w:pStyle w:val="358"/>
        <w:wordWrap w:val="0"/>
        <w:spacing w:line="480" w:lineRule="auto"/>
        <w:ind w:firstLine="0" w:firstLineChars="0"/>
        <w:jc w:val="right"/>
        <w:rPr>
          <w:lang w:eastAsia="zh-CN"/>
        </w:rPr>
      </w:pPr>
      <w:r>
        <w:rPr>
          <w:rFonts w:hint="eastAsia"/>
          <w:lang w:eastAsia="zh-CN"/>
        </w:rPr>
        <w:t>供应商名称（盖章）：</w:t>
      </w:r>
    </w:p>
    <w:p>
      <w:pPr>
        <w:pStyle w:val="358"/>
        <w:spacing w:line="480" w:lineRule="auto"/>
        <w:ind w:firstLine="4960" w:firstLineChars="2067"/>
        <w:jc w:val="right"/>
        <w:rPr>
          <w:lang w:eastAsia="zh-CN"/>
        </w:rPr>
      </w:pPr>
      <w:r>
        <w:rPr>
          <w:rFonts w:hint="eastAsia"/>
          <w:lang w:eastAsia="zh-CN"/>
        </w:rPr>
        <w:t>日期：</w:t>
      </w:r>
      <w:r>
        <w:rPr>
          <w:lang w:eastAsia="zh-CN"/>
        </w:rPr>
        <w:t>年月日</w:t>
      </w:r>
    </w:p>
    <w:p>
      <w:pPr>
        <w:rPr>
          <w:rFonts w:ascii="宋体" w:hAnsi="宋体"/>
          <w:b/>
          <w:bCs/>
          <w:sz w:val="24"/>
          <w:szCs w:val="28"/>
        </w:rPr>
      </w:pPr>
      <w:r>
        <w:rPr>
          <w:rFonts w:hint="eastAsia" w:ascii="宋体" w:hAnsi="宋体"/>
          <w:b/>
          <w:bCs/>
          <w:sz w:val="24"/>
          <w:szCs w:val="28"/>
        </w:rPr>
        <w:t>说明：</w:t>
      </w:r>
    </w:p>
    <w:p>
      <w:pPr>
        <w:rPr>
          <w:rFonts w:ascii="宋体" w:hAnsi="宋体"/>
          <w:sz w:val="24"/>
          <w:szCs w:val="28"/>
        </w:rPr>
      </w:pPr>
      <w:r>
        <w:rPr>
          <w:rFonts w:hint="eastAsia" w:ascii="宋体" w:hAnsi="宋体"/>
          <w:sz w:val="24"/>
          <w:szCs w:val="28"/>
        </w:rPr>
        <w:t>1.供应商必须提供本声明函，且不得擅自修改和删除，否则其响应文件将作无效响应处理。</w:t>
      </w:r>
    </w:p>
    <w:p>
      <w:pPr>
        <w:rPr>
          <w:rFonts w:ascii="宋体" w:hAnsi="宋体"/>
          <w:sz w:val="28"/>
        </w:rPr>
      </w:pPr>
      <w:r>
        <w:rPr>
          <w:rFonts w:hint="eastAsia" w:ascii="宋体" w:hAnsi="宋体"/>
          <w:sz w:val="24"/>
          <w:szCs w:val="28"/>
        </w:rPr>
        <w:t>2.供应商如存在与本声明函事实不符或虚假响应的，其响应文件将作无效响应处理。</w:t>
      </w:r>
      <w:bookmarkStart w:id="629" w:name="_Toc104040712"/>
      <w:bookmarkStart w:id="630" w:name="_Toc103033242"/>
      <w:r>
        <w:rPr>
          <w:rFonts w:ascii="宋体" w:hAnsi="宋体"/>
          <w:sz w:val="24"/>
        </w:rPr>
        <w:br w:type="page"/>
      </w:r>
    </w:p>
    <w:bookmarkEnd w:id="629"/>
    <w:bookmarkEnd w:id="630"/>
    <w:p>
      <w:pPr>
        <w:pStyle w:val="5"/>
        <w:keepNext w:val="0"/>
        <w:keepLines w:val="0"/>
        <w:numPr>
          <w:ilvl w:val="0"/>
          <w:numId w:val="19"/>
        </w:numPr>
        <w:spacing w:before="120" w:after="120" w:line="240" w:lineRule="auto"/>
        <w:rPr>
          <w:rFonts w:ascii="宋体" w:hAnsi="宋体"/>
          <w:szCs w:val="24"/>
        </w:rPr>
      </w:pPr>
      <w:bookmarkStart w:id="631" w:name="_Toc104040716"/>
      <w:bookmarkStart w:id="632" w:name="_Toc103033253"/>
      <w:bookmarkStart w:id="633" w:name="_Toc102936930"/>
      <w:bookmarkStart w:id="634" w:name="_Toc103033245"/>
      <w:r>
        <w:rPr>
          <w:rFonts w:hint="eastAsia" w:ascii="宋体" w:hAnsi="宋体"/>
          <w:szCs w:val="24"/>
        </w:rPr>
        <w:t>需要采购人提供的附加条件</w:t>
      </w:r>
      <w:bookmarkEnd w:id="631"/>
      <w:bookmarkEnd w:id="632"/>
    </w:p>
    <w:p>
      <w:pPr>
        <w:rPr>
          <w:rFonts w:ascii="宋体" w:hAnsi="宋体" w:cs="宋体"/>
          <w:i/>
          <w:iCs/>
          <w:szCs w:val="21"/>
        </w:rPr>
      </w:pPr>
      <w:r>
        <w:rPr>
          <w:rFonts w:hint="eastAsia" w:ascii="宋体" w:hAnsi="宋体" w:cs="宋体"/>
          <w:i/>
          <w:iCs/>
          <w:szCs w:val="21"/>
        </w:rPr>
        <w:t>（以下格式文件由供应商根据需要选用）</w:t>
      </w:r>
      <w:bookmarkStart w:id="635" w:name="_Toc66392098"/>
    </w:p>
    <w:p>
      <w:pPr>
        <w:jc w:val="center"/>
        <w:rPr>
          <w:rFonts w:ascii="宋体" w:hAnsi="宋体" w:cs="宋体"/>
          <w:b/>
          <w:bCs/>
          <w:sz w:val="28"/>
          <w:szCs w:val="28"/>
        </w:rPr>
      </w:pPr>
      <w:r>
        <w:rPr>
          <w:rFonts w:hint="eastAsia" w:ascii="宋体" w:hAnsi="宋体" w:cs="宋体"/>
          <w:b/>
          <w:bCs/>
          <w:sz w:val="28"/>
          <w:szCs w:val="28"/>
        </w:rPr>
        <w:t>需要采购人提供的附加条件</w:t>
      </w:r>
    </w:p>
    <w:tbl>
      <w:tblPr>
        <w:tblStyle w:val="49"/>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420"/>
        <w:gridCol w:w="762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shd w:val="clear" w:color="auto" w:fill="auto"/>
            <w:vAlign w:val="center"/>
          </w:tcPr>
          <w:p>
            <w:pPr>
              <w:spacing w:beforeLines="50" w:afterLines="50" w:line="240" w:lineRule="auto"/>
              <w:jc w:val="center"/>
              <w:rPr>
                <w:rFonts w:ascii="宋体" w:hAnsi="宋体"/>
                <w:b/>
                <w:bCs/>
                <w:szCs w:val="21"/>
              </w:rPr>
            </w:pPr>
            <w:r>
              <w:rPr>
                <w:rFonts w:hint="eastAsia" w:ascii="宋体" w:hAnsi="宋体"/>
                <w:b/>
                <w:bCs/>
                <w:szCs w:val="21"/>
              </w:rPr>
              <w:t>序号</w:t>
            </w:r>
          </w:p>
        </w:tc>
        <w:tc>
          <w:tcPr>
            <w:tcW w:w="4215" w:type="pct"/>
            <w:tcBorders>
              <w:top w:val="single" w:color="000000" w:sz="6" w:space="0"/>
              <w:left w:val="single" w:color="000000" w:sz="6" w:space="0"/>
              <w:bottom w:val="single" w:color="000000" w:sz="6" w:space="0"/>
              <w:right w:val="single" w:color="000000" w:sz="6" w:space="0"/>
            </w:tcBorders>
            <w:shd w:val="clear" w:color="auto" w:fill="auto"/>
            <w:vAlign w:val="center"/>
          </w:tcPr>
          <w:p>
            <w:pPr>
              <w:spacing w:beforeLines="50" w:afterLines="50" w:line="240" w:lineRule="auto"/>
              <w:jc w:val="center"/>
              <w:rPr>
                <w:rFonts w:ascii="宋体" w:hAnsi="宋体"/>
                <w:b/>
                <w:bCs/>
                <w:szCs w:val="21"/>
              </w:rPr>
            </w:pPr>
            <w:r>
              <w:rPr>
                <w:rFonts w:hint="eastAsia" w:ascii="宋体" w:hAnsi="宋体"/>
                <w:b/>
                <w:bCs/>
                <w:szCs w:val="21"/>
              </w:rPr>
              <w:t>供应商需要采购人提供的附加条件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Lines="50" w:afterLines="50" w:line="240" w:lineRule="auto"/>
              <w:jc w:val="center"/>
              <w:rPr>
                <w:rFonts w:ascii="宋体" w:hAnsi="宋体"/>
                <w:szCs w:val="21"/>
              </w:rPr>
            </w:pPr>
            <w:r>
              <w:rPr>
                <w:rFonts w:hint="eastAsia" w:ascii="宋体" w:hAnsi="宋体"/>
                <w:szCs w:val="21"/>
              </w:rPr>
              <w:t>1</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Lines="50" w:afterLines="50" w:line="240" w:lineRule="auto"/>
              <w:jc w:val="center"/>
              <w:rPr>
                <w:rFonts w:ascii="宋体" w:hAnsi="宋体"/>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Lines="50" w:afterLines="50" w:line="240" w:lineRule="auto"/>
              <w:jc w:val="center"/>
              <w:rPr>
                <w:rFonts w:ascii="宋体" w:hAnsi="宋体"/>
                <w:szCs w:val="21"/>
              </w:rPr>
            </w:pPr>
            <w:r>
              <w:rPr>
                <w:rFonts w:hint="eastAsia" w:ascii="宋体" w:hAnsi="宋体"/>
                <w:szCs w:val="21"/>
              </w:rPr>
              <w:t>2</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Lines="50" w:afterLines="50" w:line="240" w:lineRule="auto"/>
              <w:jc w:val="center"/>
              <w:rPr>
                <w:rFonts w:ascii="宋体" w:hAnsi="宋体"/>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Lines="50" w:afterLines="50" w:line="240" w:lineRule="auto"/>
              <w:jc w:val="center"/>
              <w:rPr>
                <w:rFonts w:ascii="宋体" w:hAnsi="宋体"/>
                <w:szCs w:val="21"/>
              </w:rPr>
            </w:pPr>
            <w:r>
              <w:rPr>
                <w:rFonts w:hint="eastAsia" w:ascii="宋体" w:hAnsi="宋体"/>
                <w:szCs w:val="21"/>
              </w:rPr>
              <w:t>3</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Lines="50" w:afterLines="50" w:line="240" w:lineRule="auto"/>
              <w:jc w:val="center"/>
              <w:rPr>
                <w:rFonts w:ascii="宋体" w:hAnsi="宋体"/>
                <w:szCs w:val="21"/>
              </w:rPr>
            </w:pPr>
          </w:p>
        </w:tc>
      </w:tr>
    </w:tbl>
    <w:p>
      <w:pPr>
        <w:pStyle w:val="48"/>
        <w:spacing w:after="0" w:line="360" w:lineRule="auto"/>
        <w:ind w:left="0" w:leftChars="0" w:firstLine="0" w:firstLineChars="0"/>
        <w:rPr>
          <w:rFonts w:ascii="宋体" w:hAnsi="宋体"/>
          <w:sz w:val="24"/>
        </w:rPr>
      </w:pPr>
      <w:r>
        <w:rPr>
          <w:rFonts w:hint="eastAsia" w:ascii="宋体" w:hAnsi="宋体"/>
          <w:sz w:val="24"/>
        </w:rPr>
        <w:t>注：供应商完成本项目需要采购人配合或提供的条件必须在上表列出，否则将视为供应商同意按现有条件完成本项目。如上表所列附加条件含有采购人不能接受的，将被视为无效响应。</w:t>
      </w:r>
    </w:p>
    <w:p>
      <w:pPr>
        <w:pStyle w:val="21"/>
        <w:rPr>
          <w:rFonts w:ascii="宋体" w:hAnsi="宋体"/>
        </w:rPr>
      </w:pPr>
    </w:p>
    <w:p>
      <w:pPr>
        <w:pStyle w:val="358"/>
        <w:wordWrap w:val="0"/>
        <w:spacing w:line="480" w:lineRule="auto"/>
        <w:ind w:firstLine="0" w:firstLineChars="0"/>
        <w:jc w:val="right"/>
        <w:rPr>
          <w:lang w:eastAsia="zh-CN"/>
        </w:rPr>
      </w:pPr>
      <w:r>
        <w:rPr>
          <w:rFonts w:hint="eastAsia"/>
          <w:kern w:val="0"/>
          <w:lang w:eastAsia="zh-CN"/>
        </w:rPr>
        <w:t>供应商</w:t>
      </w:r>
      <w:r>
        <w:rPr>
          <w:rFonts w:hint="eastAsia"/>
          <w:lang w:eastAsia="zh-CN"/>
        </w:rPr>
        <w:t>法定代表人或其授权委托人（签字或盖章）：</w:t>
      </w:r>
    </w:p>
    <w:p>
      <w:pPr>
        <w:pStyle w:val="358"/>
        <w:wordWrap w:val="0"/>
        <w:spacing w:line="480" w:lineRule="auto"/>
        <w:ind w:firstLine="0" w:firstLineChars="0"/>
        <w:jc w:val="right"/>
        <w:rPr>
          <w:lang w:eastAsia="zh-CN"/>
        </w:rPr>
      </w:pPr>
      <w:r>
        <w:rPr>
          <w:rFonts w:hint="eastAsia"/>
          <w:lang w:eastAsia="zh-CN"/>
        </w:rPr>
        <w:t>供应商名称（盖章）：</w:t>
      </w:r>
    </w:p>
    <w:p>
      <w:pPr>
        <w:pStyle w:val="358"/>
        <w:spacing w:line="480" w:lineRule="auto"/>
        <w:ind w:firstLine="4960" w:firstLineChars="2067"/>
        <w:jc w:val="right"/>
        <w:rPr>
          <w:lang w:eastAsia="zh-CN"/>
        </w:rPr>
      </w:pPr>
      <w:r>
        <w:rPr>
          <w:rFonts w:hint="eastAsia"/>
          <w:lang w:eastAsia="zh-CN"/>
        </w:rPr>
        <w:t>日期：年月日</w:t>
      </w:r>
    </w:p>
    <w:p>
      <w:pPr>
        <w:pStyle w:val="21"/>
        <w:rPr>
          <w:rFonts w:ascii="宋体" w:hAnsi="宋体"/>
        </w:rPr>
      </w:pPr>
    </w:p>
    <w:bookmarkEnd w:id="635"/>
    <w:p>
      <w:pPr>
        <w:rPr>
          <w:rFonts w:ascii="宋体" w:hAnsi="宋体"/>
          <w:b/>
          <w:bCs/>
          <w:sz w:val="24"/>
        </w:rPr>
      </w:pPr>
      <w:r>
        <w:rPr>
          <w:rFonts w:ascii="宋体" w:hAnsi="宋体"/>
          <w:sz w:val="24"/>
        </w:rPr>
        <w:br w:type="page"/>
      </w:r>
    </w:p>
    <w:p>
      <w:pPr>
        <w:pStyle w:val="5"/>
        <w:keepNext w:val="0"/>
        <w:keepLines w:val="0"/>
        <w:numPr>
          <w:ilvl w:val="0"/>
          <w:numId w:val="19"/>
        </w:numPr>
        <w:spacing w:before="120" w:after="120" w:line="240" w:lineRule="auto"/>
        <w:rPr>
          <w:rFonts w:ascii="宋体" w:hAnsi="宋体"/>
          <w:szCs w:val="24"/>
        </w:rPr>
      </w:pPr>
      <w:bookmarkStart w:id="636" w:name="_Toc104040717"/>
      <w:r>
        <w:rPr>
          <w:rFonts w:hint="eastAsia" w:ascii="宋体" w:hAnsi="宋体"/>
          <w:szCs w:val="24"/>
        </w:rPr>
        <w:t>实质性</w:t>
      </w:r>
      <w:r>
        <w:rPr>
          <w:rFonts w:ascii="宋体" w:hAnsi="宋体"/>
          <w:szCs w:val="24"/>
        </w:rPr>
        <w:t>条款</w:t>
      </w:r>
      <w:r>
        <w:rPr>
          <w:rFonts w:hint="eastAsia" w:ascii="宋体" w:hAnsi="宋体"/>
          <w:szCs w:val="24"/>
        </w:rPr>
        <w:t>技术</w:t>
      </w:r>
      <w:r>
        <w:rPr>
          <w:rFonts w:ascii="宋体" w:hAnsi="宋体"/>
          <w:szCs w:val="24"/>
        </w:rPr>
        <w:t>响应表</w:t>
      </w:r>
      <w:bookmarkEnd w:id="633"/>
      <w:bookmarkEnd w:id="634"/>
      <w:bookmarkEnd w:id="636"/>
    </w:p>
    <w:p>
      <w:pPr>
        <w:rPr>
          <w:rFonts w:ascii="宋体" w:hAnsi="宋体"/>
        </w:rPr>
      </w:pPr>
      <w:r>
        <w:rPr>
          <w:rFonts w:hint="eastAsia" w:ascii="宋体" w:hAnsi="宋体" w:cs="宋体"/>
          <w:i/>
          <w:iCs/>
          <w:szCs w:val="21"/>
        </w:rPr>
        <w:t>（以下格式文件由供应商根据需要选用）</w:t>
      </w:r>
    </w:p>
    <w:p>
      <w:pPr>
        <w:jc w:val="center"/>
        <w:rPr>
          <w:rFonts w:ascii="宋体" w:hAnsi="宋体" w:cs="宋体"/>
          <w:b/>
          <w:bCs/>
          <w:sz w:val="28"/>
          <w:szCs w:val="28"/>
        </w:rPr>
      </w:pPr>
      <w:r>
        <w:rPr>
          <w:rFonts w:hint="eastAsia" w:ascii="宋体" w:hAnsi="宋体" w:cs="宋体"/>
          <w:b/>
          <w:bCs/>
          <w:sz w:val="28"/>
          <w:szCs w:val="28"/>
        </w:rPr>
        <w:t>实质性</w:t>
      </w:r>
      <w:r>
        <w:rPr>
          <w:rFonts w:ascii="宋体" w:hAnsi="宋体" w:cs="宋体"/>
          <w:b/>
          <w:bCs/>
          <w:sz w:val="28"/>
          <w:szCs w:val="28"/>
        </w:rPr>
        <w:t>条款响应表</w:t>
      </w:r>
    </w:p>
    <w:p>
      <w:pPr>
        <w:rPr>
          <w:rFonts w:ascii="宋体" w:hAnsi="宋体"/>
          <w:bCs/>
          <w:sz w:val="24"/>
        </w:rPr>
      </w:pPr>
      <w:r>
        <w:rPr>
          <w:rFonts w:ascii="宋体" w:hAnsi="宋体"/>
          <w:bCs/>
          <w:sz w:val="24"/>
        </w:rPr>
        <w:t>项目名称：</w:t>
      </w:r>
    </w:p>
    <w:p>
      <w:pPr>
        <w:rPr>
          <w:rFonts w:ascii="宋体" w:hAnsi="宋体"/>
          <w:sz w:val="24"/>
        </w:rPr>
      </w:pPr>
      <w:r>
        <w:rPr>
          <w:rFonts w:hint="eastAsia" w:ascii="宋体" w:hAnsi="宋体"/>
          <w:bCs/>
          <w:sz w:val="24"/>
        </w:rPr>
        <w:t>项目编号</w:t>
      </w:r>
      <w:r>
        <w:rPr>
          <w:rFonts w:ascii="宋体" w:hAnsi="宋体"/>
          <w:bCs/>
          <w:sz w:val="24"/>
        </w:rPr>
        <w:t>：_________________</w:t>
      </w:r>
    </w:p>
    <w:tbl>
      <w:tblPr>
        <w:tblStyle w:val="4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4551"/>
        <w:gridCol w:w="1383"/>
        <w:gridCol w:w="153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pStyle w:val="15"/>
              <w:spacing w:line="240" w:lineRule="auto"/>
              <w:ind w:firstLine="0"/>
              <w:jc w:val="center"/>
              <w:rPr>
                <w:rFonts w:ascii="宋体" w:hAnsi="宋体" w:eastAsia="宋体"/>
                <w:b/>
                <w:sz w:val="21"/>
                <w:szCs w:val="21"/>
              </w:rPr>
            </w:pPr>
            <w:r>
              <w:rPr>
                <w:rFonts w:ascii="宋体" w:hAnsi="宋体" w:eastAsia="宋体"/>
                <w:b/>
                <w:sz w:val="21"/>
                <w:szCs w:val="21"/>
              </w:rPr>
              <w:t>序号</w:t>
            </w:r>
          </w:p>
        </w:tc>
        <w:tc>
          <w:tcPr>
            <w:tcW w:w="2462" w:type="pct"/>
            <w:vAlign w:val="center"/>
          </w:tcPr>
          <w:p>
            <w:pPr>
              <w:pStyle w:val="15"/>
              <w:spacing w:line="240" w:lineRule="auto"/>
              <w:ind w:firstLine="0"/>
              <w:jc w:val="center"/>
              <w:rPr>
                <w:rFonts w:ascii="宋体" w:hAnsi="宋体" w:eastAsia="宋体"/>
                <w:b/>
                <w:sz w:val="21"/>
                <w:szCs w:val="21"/>
              </w:rPr>
            </w:pPr>
            <w:r>
              <w:rPr>
                <w:rFonts w:hint="eastAsia" w:ascii="宋体" w:hAnsi="宋体" w:eastAsia="宋体"/>
                <w:b/>
                <w:sz w:val="21"/>
                <w:szCs w:val="21"/>
              </w:rPr>
              <w:t>磋商文件</w:t>
            </w:r>
            <w:r>
              <w:rPr>
                <w:rFonts w:ascii="宋体" w:hAnsi="宋体" w:eastAsia="宋体"/>
                <w:b/>
                <w:sz w:val="21"/>
                <w:szCs w:val="21"/>
              </w:rPr>
              <w:t>要求</w:t>
            </w:r>
          </w:p>
        </w:tc>
        <w:tc>
          <w:tcPr>
            <w:tcW w:w="748" w:type="pct"/>
            <w:vAlign w:val="center"/>
          </w:tcPr>
          <w:p>
            <w:pPr>
              <w:pStyle w:val="15"/>
              <w:spacing w:line="240" w:lineRule="auto"/>
              <w:ind w:firstLine="0"/>
              <w:jc w:val="center"/>
              <w:rPr>
                <w:rFonts w:ascii="宋体" w:hAnsi="宋体" w:eastAsia="宋体"/>
                <w:b/>
                <w:sz w:val="21"/>
                <w:szCs w:val="21"/>
              </w:rPr>
            </w:pPr>
            <w:r>
              <w:rPr>
                <w:rFonts w:hint="eastAsia" w:ascii="宋体" w:hAnsi="宋体" w:eastAsia="宋体"/>
                <w:b/>
                <w:sz w:val="21"/>
                <w:szCs w:val="21"/>
              </w:rPr>
              <w:t>响应情况</w:t>
            </w:r>
          </w:p>
        </w:tc>
        <w:tc>
          <w:tcPr>
            <w:tcW w:w="831" w:type="pct"/>
            <w:vAlign w:val="center"/>
          </w:tcPr>
          <w:p>
            <w:pPr>
              <w:pStyle w:val="15"/>
              <w:spacing w:line="240" w:lineRule="auto"/>
              <w:ind w:firstLine="0"/>
              <w:jc w:val="center"/>
              <w:rPr>
                <w:rFonts w:ascii="宋体" w:hAnsi="宋体" w:eastAsia="宋体"/>
                <w:b/>
                <w:sz w:val="21"/>
                <w:szCs w:val="21"/>
              </w:rPr>
            </w:pPr>
            <w:r>
              <w:rPr>
                <w:rFonts w:ascii="宋体" w:hAnsi="宋体" w:eastAsia="宋体"/>
                <w:b/>
                <w:sz w:val="21"/>
                <w:szCs w:val="21"/>
              </w:rPr>
              <w:t>偏离情况</w:t>
            </w:r>
          </w:p>
        </w:tc>
        <w:tc>
          <w:tcPr>
            <w:tcW w:w="449" w:type="pct"/>
            <w:vAlign w:val="center"/>
          </w:tcPr>
          <w:p>
            <w:pPr>
              <w:pStyle w:val="15"/>
              <w:spacing w:line="240" w:lineRule="auto"/>
              <w:ind w:firstLine="0"/>
              <w:jc w:val="center"/>
              <w:rPr>
                <w:rFonts w:ascii="宋体" w:hAnsi="宋体" w:eastAsia="宋体"/>
                <w:b/>
                <w:sz w:val="21"/>
                <w:szCs w:val="21"/>
              </w:rPr>
            </w:pPr>
            <w:r>
              <w:rPr>
                <w:rFonts w:ascii="宋体" w:hAnsi="宋体" w:eastAsia="宋体"/>
                <w:b/>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szCs w:val="21"/>
              </w:rPr>
            </w:pPr>
            <w:r>
              <w:rPr>
                <w:rFonts w:ascii="宋体" w:hAnsi="宋体"/>
                <w:bCs/>
                <w:szCs w:val="21"/>
              </w:rPr>
              <w:t>1</w:t>
            </w:r>
          </w:p>
        </w:tc>
        <w:tc>
          <w:tcPr>
            <w:tcW w:w="2462" w:type="pct"/>
            <w:vAlign w:val="center"/>
          </w:tcPr>
          <w:p>
            <w:pPr>
              <w:rPr>
                <w:rFonts w:ascii="宋体" w:hAnsi="宋体"/>
                <w:bCs/>
                <w:szCs w:val="21"/>
              </w:rPr>
            </w:pPr>
          </w:p>
        </w:tc>
        <w:tc>
          <w:tcPr>
            <w:tcW w:w="748" w:type="pct"/>
            <w:vAlign w:val="center"/>
          </w:tcPr>
          <w:p>
            <w:pPr>
              <w:pStyle w:val="21"/>
              <w:spacing w:line="240" w:lineRule="auto"/>
              <w:jc w:val="center"/>
              <w:rPr>
                <w:rFonts w:ascii="宋体" w:hAnsi="宋体"/>
                <w:bCs/>
                <w:szCs w:val="21"/>
              </w:rPr>
            </w:pPr>
          </w:p>
        </w:tc>
        <w:tc>
          <w:tcPr>
            <w:tcW w:w="831" w:type="pct"/>
            <w:vAlign w:val="center"/>
          </w:tcPr>
          <w:p>
            <w:pPr>
              <w:pStyle w:val="21"/>
              <w:spacing w:line="240" w:lineRule="auto"/>
              <w:jc w:val="center"/>
              <w:rPr>
                <w:rFonts w:ascii="宋体" w:hAnsi="宋体"/>
                <w:bCs/>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szCs w:val="21"/>
              </w:rPr>
            </w:pPr>
            <w:r>
              <w:rPr>
                <w:rFonts w:ascii="宋体" w:hAnsi="宋体"/>
                <w:bCs/>
                <w:szCs w:val="21"/>
              </w:rPr>
              <w:t>2</w:t>
            </w:r>
          </w:p>
        </w:tc>
        <w:tc>
          <w:tcPr>
            <w:tcW w:w="2462" w:type="pct"/>
            <w:vAlign w:val="center"/>
          </w:tcPr>
          <w:p>
            <w:pPr>
              <w:rPr>
                <w:rFonts w:ascii="宋体" w:hAnsi="宋体"/>
                <w:bCs/>
                <w:szCs w:val="21"/>
              </w:rPr>
            </w:pPr>
          </w:p>
        </w:tc>
        <w:tc>
          <w:tcPr>
            <w:tcW w:w="748" w:type="pct"/>
            <w:vAlign w:val="center"/>
          </w:tcPr>
          <w:p>
            <w:pPr>
              <w:pStyle w:val="21"/>
              <w:spacing w:line="240" w:lineRule="auto"/>
              <w:jc w:val="center"/>
              <w:rPr>
                <w:rFonts w:ascii="宋体" w:hAnsi="宋体"/>
                <w:bCs/>
                <w:szCs w:val="21"/>
              </w:rPr>
            </w:pPr>
          </w:p>
        </w:tc>
        <w:tc>
          <w:tcPr>
            <w:tcW w:w="831" w:type="pct"/>
            <w:vAlign w:val="center"/>
          </w:tcPr>
          <w:p>
            <w:pPr>
              <w:pStyle w:val="21"/>
              <w:spacing w:line="240" w:lineRule="auto"/>
              <w:jc w:val="center"/>
              <w:rPr>
                <w:rFonts w:ascii="宋体" w:hAnsi="宋体"/>
                <w:bCs/>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szCs w:val="21"/>
              </w:rPr>
            </w:pPr>
            <w:r>
              <w:rPr>
                <w:rFonts w:ascii="宋体" w:hAnsi="宋体"/>
                <w:bCs/>
                <w:szCs w:val="21"/>
              </w:rPr>
              <w:t>…</w:t>
            </w:r>
          </w:p>
        </w:tc>
        <w:tc>
          <w:tcPr>
            <w:tcW w:w="2462" w:type="pct"/>
            <w:vAlign w:val="center"/>
          </w:tcPr>
          <w:p>
            <w:pPr>
              <w:jc w:val="center"/>
              <w:rPr>
                <w:rFonts w:ascii="宋体" w:hAnsi="宋体"/>
                <w:bCs/>
                <w:szCs w:val="21"/>
              </w:rPr>
            </w:pPr>
            <w:r>
              <w:rPr>
                <w:rFonts w:ascii="宋体" w:hAnsi="宋体"/>
                <w:bCs/>
                <w:szCs w:val="21"/>
              </w:rPr>
              <w:t>…</w:t>
            </w:r>
          </w:p>
        </w:tc>
        <w:tc>
          <w:tcPr>
            <w:tcW w:w="748" w:type="pct"/>
            <w:vAlign w:val="center"/>
          </w:tcPr>
          <w:p>
            <w:pPr>
              <w:pStyle w:val="15"/>
              <w:ind w:firstLine="0"/>
              <w:jc w:val="center"/>
              <w:rPr>
                <w:rFonts w:ascii="宋体" w:hAnsi="宋体" w:eastAsia="宋体"/>
                <w:bCs/>
                <w:sz w:val="21"/>
                <w:szCs w:val="21"/>
              </w:rPr>
            </w:pPr>
          </w:p>
        </w:tc>
        <w:tc>
          <w:tcPr>
            <w:tcW w:w="831" w:type="pct"/>
            <w:vAlign w:val="center"/>
          </w:tcPr>
          <w:p>
            <w:pPr>
              <w:pStyle w:val="15"/>
              <w:ind w:firstLine="0"/>
              <w:jc w:val="center"/>
              <w:rPr>
                <w:rFonts w:ascii="宋体" w:hAnsi="宋体" w:eastAsia="宋体"/>
                <w:bCs/>
                <w:sz w:val="21"/>
                <w:szCs w:val="21"/>
              </w:rPr>
            </w:pPr>
          </w:p>
        </w:tc>
        <w:tc>
          <w:tcPr>
            <w:tcW w:w="449" w:type="pct"/>
            <w:vAlign w:val="center"/>
          </w:tcPr>
          <w:p>
            <w:pPr>
              <w:pStyle w:val="15"/>
              <w:ind w:firstLine="0"/>
              <w:jc w:val="center"/>
              <w:rPr>
                <w:rFonts w:ascii="宋体" w:hAnsi="宋体" w:eastAsia="宋体"/>
                <w:bCs/>
                <w:sz w:val="21"/>
                <w:szCs w:val="21"/>
              </w:rPr>
            </w:pPr>
          </w:p>
        </w:tc>
      </w:tr>
    </w:tbl>
    <w:p>
      <w:pPr>
        <w:pStyle w:val="15"/>
        <w:ind w:firstLine="0"/>
        <w:rPr>
          <w:rFonts w:ascii="宋体" w:hAnsi="宋体" w:eastAsia="宋体"/>
          <w:sz w:val="21"/>
          <w:szCs w:val="21"/>
        </w:rPr>
      </w:pPr>
      <w:r>
        <w:rPr>
          <w:rFonts w:ascii="宋体" w:hAnsi="宋体" w:eastAsia="宋体"/>
          <w:sz w:val="21"/>
          <w:szCs w:val="21"/>
        </w:rPr>
        <w:t>说明：</w:t>
      </w:r>
    </w:p>
    <w:p>
      <w:pPr>
        <w:pStyle w:val="15"/>
        <w:rPr>
          <w:rFonts w:ascii="宋体" w:hAnsi="宋体" w:eastAsia="宋体"/>
          <w:bCs/>
          <w:sz w:val="21"/>
          <w:szCs w:val="21"/>
        </w:rPr>
      </w:pPr>
      <w:bookmarkStart w:id="637" w:name="_Hlk69414041"/>
      <w:r>
        <w:rPr>
          <w:rFonts w:ascii="宋体" w:hAnsi="宋体" w:eastAsia="宋体"/>
          <w:bCs/>
          <w:sz w:val="21"/>
          <w:szCs w:val="21"/>
        </w:rPr>
        <w:t>1.</w:t>
      </w:r>
      <w:r>
        <w:rPr>
          <w:rFonts w:hint="eastAsia" w:ascii="宋体" w:hAnsi="宋体" w:eastAsia="宋体"/>
          <w:bCs/>
          <w:sz w:val="21"/>
          <w:szCs w:val="21"/>
        </w:rPr>
        <w:t>采购需求中标注“★”号条款为实质性条款，若有任何一条负偏离或不满足或未响应则导致无效响应。响应文件中须按照“★”条款的要求逐条响应，若要求证明材料的，还须提供相应的证明材料，否则视为不满足的情形，将作无效响应处理。</w:t>
      </w:r>
    </w:p>
    <w:p>
      <w:pPr>
        <w:pStyle w:val="15"/>
        <w:rPr>
          <w:rFonts w:ascii="宋体" w:hAnsi="宋体" w:eastAsia="宋体"/>
          <w:bCs/>
          <w:sz w:val="21"/>
          <w:szCs w:val="21"/>
        </w:rPr>
      </w:pPr>
      <w:r>
        <w:rPr>
          <w:rFonts w:ascii="宋体" w:hAnsi="宋体" w:eastAsia="宋体"/>
          <w:bCs/>
          <w:sz w:val="21"/>
          <w:szCs w:val="21"/>
        </w:rPr>
        <w:t>2.</w:t>
      </w:r>
      <w:r>
        <w:rPr>
          <w:rFonts w:hint="eastAsia" w:ascii="宋体" w:hAnsi="宋体" w:eastAsia="宋体"/>
          <w:bCs/>
          <w:sz w:val="21"/>
          <w:szCs w:val="21"/>
        </w:rPr>
        <w:t>“响应情况”应填写供应商的具体承诺，如果供应商承诺完全按照磋商文件规定执行的，也可以填写“完全按照磋商文件规定执行”</w:t>
      </w:r>
      <w:r>
        <w:rPr>
          <w:rFonts w:ascii="宋体" w:hAnsi="宋体" w:eastAsia="宋体"/>
          <w:bCs/>
          <w:sz w:val="21"/>
          <w:szCs w:val="21"/>
        </w:rPr>
        <w:t>。</w:t>
      </w:r>
    </w:p>
    <w:p>
      <w:pPr>
        <w:pStyle w:val="15"/>
        <w:rPr>
          <w:rFonts w:ascii="宋体" w:hAnsi="宋体" w:eastAsia="宋体"/>
          <w:bCs/>
          <w:sz w:val="21"/>
          <w:szCs w:val="21"/>
        </w:rPr>
      </w:pPr>
      <w:r>
        <w:rPr>
          <w:rFonts w:ascii="宋体" w:hAnsi="宋体" w:eastAsia="宋体"/>
          <w:bCs/>
          <w:sz w:val="21"/>
          <w:szCs w:val="21"/>
        </w:rPr>
        <w:t>3.“偏离情况”项填写“正偏离”或“无偏离”或“负偏离”，</w:t>
      </w:r>
      <w:r>
        <w:rPr>
          <w:rFonts w:hint="eastAsia" w:ascii="宋体" w:hAnsi="宋体" w:eastAsia="宋体"/>
          <w:bCs/>
          <w:sz w:val="21"/>
          <w:szCs w:val="21"/>
        </w:rPr>
        <w:t>供应商</w:t>
      </w:r>
      <w:r>
        <w:rPr>
          <w:rFonts w:ascii="宋体" w:hAnsi="宋体" w:eastAsia="宋体"/>
          <w:bCs/>
          <w:sz w:val="21"/>
          <w:szCs w:val="21"/>
        </w:rPr>
        <w:t>须真实体现偏离情况。其中正偏离是指承诺优于</w:t>
      </w:r>
      <w:r>
        <w:rPr>
          <w:rFonts w:hint="eastAsia" w:ascii="宋体" w:hAnsi="宋体" w:eastAsia="宋体"/>
          <w:bCs/>
          <w:sz w:val="21"/>
          <w:szCs w:val="21"/>
        </w:rPr>
        <w:t>磋商</w:t>
      </w:r>
      <w:r>
        <w:rPr>
          <w:rFonts w:ascii="宋体" w:hAnsi="宋体" w:eastAsia="宋体"/>
          <w:bCs/>
          <w:sz w:val="21"/>
          <w:szCs w:val="21"/>
        </w:rPr>
        <w:t>文件所规定的实质性条款内容；无偏离是指承诺完整满足</w:t>
      </w:r>
      <w:r>
        <w:rPr>
          <w:rFonts w:hint="eastAsia" w:ascii="宋体" w:hAnsi="宋体" w:eastAsia="宋体"/>
          <w:bCs/>
          <w:sz w:val="21"/>
          <w:szCs w:val="21"/>
        </w:rPr>
        <w:t>磋商</w:t>
      </w:r>
      <w:r>
        <w:rPr>
          <w:rFonts w:ascii="宋体" w:hAnsi="宋体" w:eastAsia="宋体"/>
          <w:bCs/>
          <w:sz w:val="21"/>
          <w:szCs w:val="21"/>
        </w:rPr>
        <w:t>文件所规定的实质性条款内容；负偏离是指承诺劣于</w:t>
      </w:r>
      <w:r>
        <w:rPr>
          <w:rFonts w:hint="eastAsia" w:ascii="宋体" w:hAnsi="宋体" w:eastAsia="宋体"/>
          <w:bCs/>
          <w:sz w:val="21"/>
          <w:szCs w:val="21"/>
        </w:rPr>
        <w:t>磋商</w:t>
      </w:r>
      <w:r>
        <w:rPr>
          <w:rFonts w:ascii="宋体" w:hAnsi="宋体" w:eastAsia="宋体"/>
          <w:bCs/>
          <w:sz w:val="21"/>
          <w:szCs w:val="21"/>
        </w:rPr>
        <w:t>文件所规定的实质性条款内容。</w:t>
      </w:r>
    </w:p>
    <w:p>
      <w:pPr>
        <w:pStyle w:val="15"/>
        <w:rPr>
          <w:rFonts w:ascii="宋体" w:hAnsi="宋体" w:eastAsia="宋体"/>
          <w:bCs/>
          <w:sz w:val="21"/>
          <w:szCs w:val="21"/>
        </w:rPr>
      </w:pPr>
      <w:bookmarkStart w:id="638" w:name="_Hlk104237757"/>
      <w:r>
        <w:rPr>
          <w:rFonts w:ascii="宋体" w:hAnsi="宋体" w:eastAsia="宋体"/>
          <w:bCs/>
          <w:sz w:val="21"/>
          <w:szCs w:val="21"/>
        </w:rPr>
        <w:t>4.</w:t>
      </w:r>
      <w:r>
        <w:rPr>
          <w:rFonts w:hint="eastAsia" w:ascii="宋体" w:hAnsi="宋体" w:eastAsia="宋体"/>
          <w:bCs/>
          <w:sz w:val="21"/>
          <w:szCs w:val="21"/>
        </w:rPr>
        <w:t>“说明”项填写具体的偏离情况，如“无偏离”可不用填写。</w:t>
      </w:r>
    </w:p>
    <w:bookmarkEnd w:id="638"/>
    <w:p>
      <w:pPr>
        <w:rPr>
          <w:rFonts w:ascii="宋体" w:hAnsi="宋体"/>
        </w:rPr>
      </w:pPr>
    </w:p>
    <w:p>
      <w:pPr>
        <w:rPr>
          <w:rFonts w:ascii="宋体" w:hAnsi="宋体"/>
        </w:rPr>
      </w:pPr>
    </w:p>
    <w:bookmarkEnd w:id="637"/>
    <w:p>
      <w:pPr>
        <w:pStyle w:val="358"/>
        <w:wordWrap w:val="0"/>
        <w:spacing w:line="480" w:lineRule="auto"/>
        <w:ind w:firstLine="0" w:firstLineChars="0"/>
        <w:jc w:val="right"/>
        <w:rPr>
          <w:lang w:eastAsia="zh-CN"/>
        </w:rPr>
      </w:pPr>
      <w:r>
        <w:rPr>
          <w:rFonts w:hint="eastAsia"/>
          <w:kern w:val="0"/>
          <w:lang w:eastAsia="zh-CN"/>
        </w:rPr>
        <w:t>供应商</w:t>
      </w:r>
      <w:r>
        <w:rPr>
          <w:rFonts w:hint="eastAsia"/>
          <w:lang w:eastAsia="zh-CN"/>
        </w:rPr>
        <w:t>法定代表人或其授权委托人（签字或盖章）：</w:t>
      </w:r>
    </w:p>
    <w:p>
      <w:pPr>
        <w:pStyle w:val="358"/>
        <w:wordWrap w:val="0"/>
        <w:spacing w:line="480" w:lineRule="auto"/>
        <w:ind w:firstLine="0" w:firstLineChars="0"/>
        <w:jc w:val="right"/>
        <w:rPr>
          <w:lang w:eastAsia="zh-CN"/>
        </w:rPr>
      </w:pPr>
      <w:r>
        <w:rPr>
          <w:rFonts w:hint="eastAsia"/>
          <w:lang w:eastAsia="zh-CN"/>
        </w:rPr>
        <w:t>供应商名称（盖章）：</w:t>
      </w:r>
    </w:p>
    <w:p>
      <w:pPr>
        <w:jc w:val="right"/>
        <w:rPr>
          <w:rFonts w:ascii="宋体" w:hAnsi="宋体"/>
          <w:sz w:val="24"/>
        </w:rPr>
      </w:pPr>
      <w:r>
        <w:rPr>
          <w:rFonts w:hint="eastAsia" w:ascii="宋体" w:hAnsi="宋体"/>
          <w:sz w:val="24"/>
        </w:rPr>
        <w:t>日期：</w:t>
      </w:r>
      <w:r>
        <w:rPr>
          <w:rFonts w:ascii="宋体" w:hAnsi="宋体"/>
          <w:sz w:val="24"/>
        </w:rPr>
        <w:t>年月日</w:t>
      </w:r>
      <w:bookmarkStart w:id="639" w:name="_Toc76397763"/>
      <w:bookmarkStart w:id="640" w:name="_Toc202820352"/>
      <w:bookmarkStart w:id="641" w:name="_Toc70528469"/>
      <w:bookmarkStart w:id="642" w:name="_Toc202254106"/>
      <w:bookmarkStart w:id="643" w:name="_Toc202819879"/>
      <w:bookmarkStart w:id="644" w:name="_Toc462677240"/>
      <w:bookmarkStart w:id="645" w:name="_Toc276645584"/>
      <w:bookmarkStart w:id="646" w:name="_Hlk24378921"/>
      <w:bookmarkStart w:id="647" w:name="_Toc68789541"/>
      <w:bookmarkStart w:id="648" w:name="_Toc202251701"/>
      <w:bookmarkStart w:id="649" w:name="_Toc202252035"/>
      <w:bookmarkStart w:id="650" w:name="_Toc202816997"/>
      <w:bookmarkStart w:id="651" w:name="_Toc202251076"/>
      <w:bookmarkStart w:id="652" w:name="_Toc67046902"/>
      <w:bookmarkStart w:id="653" w:name="_Toc259090987"/>
    </w:p>
    <w:p>
      <w:pPr>
        <w:rPr>
          <w:rFonts w:ascii="宋体" w:hAnsi="宋体"/>
          <w:sz w:val="24"/>
        </w:rPr>
      </w:pPr>
      <w:r>
        <w:rPr>
          <w:rFonts w:ascii="宋体" w:hAnsi="宋体"/>
          <w:sz w:val="24"/>
        </w:rPr>
        <w:br w:type="page"/>
      </w:r>
    </w:p>
    <w:p>
      <w:pPr>
        <w:pStyle w:val="5"/>
        <w:keepNext w:val="0"/>
        <w:keepLines w:val="0"/>
        <w:numPr>
          <w:ilvl w:val="0"/>
          <w:numId w:val="19"/>
        </w:numPr>
        <w:spacing w:before="120" w:after="120" w:line="240" w:lineRule="auto"/>
        <w:rPr>
          <w:rFonts w:ascii="宋体" w:hAnsi="宋体"/>
          <w:szCs w:val="24"/>
        </w:rPr>
      </w:pPr>
      <w:r>
        <w:rPr>
          <w:rFonts w:hint="eastAsia" w:ascii="宋体" w:hAnsi="宋体"/>
          <w:szCs w:val="24"/>
        </w:rPr>
        <w:t>实质性</w:t>
      </w:r>
      <w:r>
        <w:rPr>
          <w:rFonts w:ascii="宋体" w:hAnsi="宋体"/>
          <w:szCs w:val="24"/>
        </w:rPr>
        <w:t>条款</w:t>
      </w:r>
      <w:r>
        <w:rPr>
          <w:rFonts w:hint="eastAsia" w:ascii="宋体" w:hAnsi="宋体"/>
          <w:szCs w:val="24"/>
        </w:rPr>
        <w:t>商务</w:t>
      </w:r>
      <w:r>
        <w:rPr>
          <w:rFonts w:ascii="宋体" w:hAnsi="宋体"/>
          <w:szCs w:val="24"/>
        </w:rPr>
        <w:t>响应表</w:t>
      </w:r>
    </w:p>
    <w:p>
      <w:pPr>
        <w:rPr>
          <w:rFonts w:ascii="宋体" w:hAnsi="宋体"/>
        </w:rPr>
      </w:pPr>
      <w:r>
        <w:rPr>
          <w:rFonts w:hint="eastAsia" w:ascii="宋体" w:hAnsi="宋体" w:cs="宋体"/>
          <w:i/>
          <w:iCs/>
          <w:szCs w:val="21"/>
        </w:rPr>
        <w:t>（以下格式文件由供应商根据需要选用）</w:t>
      </w:r>
    </w:p>
    <w:p>
      <w:pPr>
        <w:jc w:val="center"/>
        <w:rPr>
          <w:rFonts w:ascii="宋体" w:hAnsi="宋体" w:cs="宋体"/>
          <w:b/>
          <w:bCs/>
          <w:sz w:val="28"/>
          <w:szCs w:val="28"/>
        </w:rPr>
      </w:pPr>
      <w:r>
        <w:rPr>
          <w:rFonts w:hint="eastAsia" w:ascii="宋体" w:hAnsi="宋体" w:cs="宋体"/>
          <w:b/>
          <w:bCs/>
          <w:sz w:val="28"/>
          <w:szCs w:val="28"/>
        </w:rPr>
        <w:t>实质性</w:t>
      </w:r>
      <w:r>
        <w:rPr>
          <w:rFonts w:ascii="宋体" w:hAnsi="宋体" w:cs="宋体"/>
          <w:b/>
          <w:bCs/>
          <w:sz w:val="28"/>
          <w:szCs w:val="28"/>
        </w:rPr>
        <w:t>条款响应表</w:t>
      </w:r>
    </w:p>
    <w:p>
      <w:pPr>
        <w:rPr>
          <w:rFonts w:ascii="宋体" w:hAnsi="宋体"/>
          <w:bCs/>
          <w:sz w:val="24"/>
        </w:rPr>
      </w:pPr>
      <w:r>
        <w:rPr>
          <w:rFonts w:ascii="宋体" w:hAnsi="宋体"/>
          <w:bCs/>
          <w:sz w:val="24"/>
        </w:rPr>
        <w:t>项目名称：</w:t>
      </w:r>
    </w:p>
    <w:p>
      <w:pPr>
        <w:rPr>
          <w:rFonts w:ascii="宋体" w:hAnsi="宋体"/>
          <w:sz w:val="24"/>
        </w:rPr>
      </w:pPr>
      <w:r>
        <w:rPr>
          <w:rFonts w:hint="eastAsia" w:ascii="宋体" w:hAnsi="宋体"/>
          <w:bCs/>
          <w:sz w:val="24"/>
        </w:rPr>
        <w:t>项目编号</w:t>
      </w:r>
      <w:r>
        <w:rPr>
          <w:rFonts w:ascii="宋体" w:hAnsi="宋体"/>
          <w:bCs/>
          <w:sz w:val="24"/>
        </w:rPr>
        <w:t>：_________________</w:t>
      </w:r>
    </w:p>
    <w:tbl>
      <w:tblPr>
        <w:tblStyle w:val="4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4551"/>
        <w:gridCol w:w="1383"/>
        <w:gridCol w:w="153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pStyle w:val="15"/>
              <w:spacing w:line="240" w:lineRule="auto"/>
              <w:ind w:firstLine="0"/>
              <w:jc w:val="center"/>
              <w:rPr>
                <w:rFonts w:ascii="宋体" w:hAnsi="宋体" w:eastAsia="宋体"/>
                <w:b/>
                <w:sz w:val="21"/>
                <w:szCs w:val="21"/>
              </w:rPr>
            </w:pPr>
            <w:r>
              <w:rPr>
                <w:rFonts w:ascii="宋体" w:hAnsi="宋体" w:eastAsia="宋体"/>
                <w:b/>
                <w:sz w:val="21"/>
                <w:szCs w:val="21"/>
              </w:rPr>
              <w:t>序号</w:t>
            </w:r>
          </w:p>
        </w:tc>
        <w:tc>
          <w:tcPr>
            <w:tcW w:w="2462" w:type="pct"/>
            <w:vAlign w:val="center"/>
          </w:tcPr>
          <w:p>
            <w:pPr>
              <w:pStyle w:val="15"/>
              <w:spacing w:line="240" w:lineRule="auto"/>
              <w:ind w:firstLine="0"/>
              <w:jc w:val="center"/>
              <w:rPr>
                <w:rFonts w:ascii="宋体" w:hAnsi="宋体" w:eastAsia="宋体"/>
                <w:b/>
                <w:sz w:val="21"/>
                <w:szCs w:val="21"/>
              </w:rPr>
            </w:pPr>
            <w:r>
              <w:rPr>
                <w:rFonts w:hint="eastAsia" w:ascii="宋体" w:hAnsi="宋体" w:eastAsia="宋体"/>
                <w:b/>
                <w:sz w:val="21"/>
                <w:szCs w:val="21"/>
              </w:rPr>
              <w:t>磋商文件</w:t>
            </w:r>
            <w:r>
              <w:rPr>
                <w:rFonts w:ascii="宋体" w:hAnsi="宋体" w:eastAsia="宋体"/>
                <w:b/>
                <w:sz w:val="21"/>
                <w:szCs w:val="21"/>
              </w:rPr>
              <w:t>要求</w:t>
            </w:r>
          </w:p>
        </w:tc>
        <w:tc>
          <w:tcPr>
            <w:tcW w:w="748" w:type="pct"/>
            <w:vAlign w:val="center"/>
          </w:tcPr>
          <w:p>
            <w:pPr>
              <w:pStyle w:val="15"/>
              <w:spacing w:line="240" w:lineRule="auto"/>
              <w:ind w:firstLine="0"/>
              <w:jc w:val="center"/>
              <w:rPr>
                <w:rFonts w:ascii="宋体" w:hAnsi="宋体" w:eastAsia="宋体"/>
                <w:b/>
                <w:sz w:val="21"/>
                <w:szCs w:val="21"/>
              </w:rPr>
            </w:pPr>
            <w:r>
              <w:rPr>
                <w:rFonts w:hint="eastAsia" w:ascii="宋体" w:hAnsi="宋体" w:eastAsia="宋体"/>
                <w:b/>
                <w:sz w:val="21"/>
                <w:szCs w:val="21"/>
              </w:rPr>
              <w:t>响应情况</w:t>
            </w:r>
          </w:p>
        </w:tc>
        <w:tc>
          <w:tcPr>
            <w:tcW w:w="831" w:type="pct"/>
            <w:vAlign w:val="center"/>
          </w:tcPr>
          <w:p>
            <w:pPr>
              <w:pStyle w:val="15"/>
              <w:spacing w:line="240" w:lineRule="auto"/>
              <w:ind w:firstLine="0"/>
              <w:jc w:val="center"/>
              <w:rPr>
                <w:rFonts w:ascii="宋体" w:hAnsi="宋体" w:eastAsia="宋体"/>
                <w:b/>
                <w:sz w:val="21"/>
                <w:szCs w:val="21"/>
              </w:rPr>
            </w:pPr>
            <w:r>
              <w:rPr>
                <w:rFonts w:ascii="宋体" w:hAnsi="宋体" w:eastAsia="宋体"/>
                <w:b/>
                <w:sz w:val="21"/>
                <w:szCs w:val="21"/>
              </w:rPr>
              <w:t>偏离情况</w:t>
            </w:r>
          </w:p>
        </w:tc>
        <w:tc>
          <w:tcPr>
            <w:tcW w:w="449" w:type="pct"/>
            <w:vAlign w:val="center"/>
          </w:tcPr>
          <w:p>
            <w:pPr>
              <w:pStyle w:val="15"/>
              <w:spacing w:line="240" w:lineRule="auto"/>
              <w:ind w:firstLine="0"/>
              <w:jc w:val="center"/>
              <w:rPr>
                <w:rFonts w:ascii="宋体" w:hAnsi="宋体" w:eastAsia="宋体"/>
                <w:b/>
                <w:sz w:val="21"/>
                <w:szCs w:val="21"/>
              </w:rPr>
            </w:pPr>
            <w:r>
              <w:rPr>
                <w:rFonts w:ascii="宋体" w:hAnsi="宋体" w:eastAsia="宋体"/>
                <w:b/>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szCs w:val="21"/>
              </w:rPr>
            </w:pPr>
            <w:r>
              <w:rPr>
                <w:rFonts w:ascii="宋体" w:hAnsi="宋体"/>
                <w:bCs/>
                <w:szCs w:val="21"/>
              </w:rPr>
              <w:t>1</w:t>
            </w:r>
          </w:p>
        </w:tc>
        <w:tc>
          <w:tcPr>
            <w:tcW w:w="2462" w:type="pct"/>
            <w:vAlign w:val="center"/>
          </w:tcPr>
          <w:p>
            <w:pPr>
              <w:rPr>
                <w:rFonts w:ascii="宋体" w:hAnsi="宋体"/>
                <w:bCs/>
                <w:szCs w:val="21"/>
              </w:rPr>
            </w:pPr>
          </w:p>
        </w:tc>
        <w:tc>
          <w:tcPr>
            <w:tcW w:w="748" w:type="pct"/>
            <w:vAlign w:val="center"/>
          </w:tcPr>
          <w:p>
            <w:pPr>
              <w:pStyle w:val="21"/>
              <w:spacing w:line="240" w:lineRule="auto"/>
              <w:jc w:val="center"/>
              <w:rPr>
                <w:rFonts w:ascii="宋体" w:hAnsi="宋体"/>
                <w:bCs/>
                <w:szCs w:val="21"/>
              </w:rPr>
            </w:pPr>
          </w:p>
        </w:tc>
        <w:tc>
          <w:tcPr>
            <w:tcW w:w="831" w:type="pct"/>
            <w:vAlign w:val="center"/>
          </w:tcPr>
          <w:p>
            <w:pPr>
              <w:pStyle w:val="21"/>
              <w:spacing w:line="240" w:lineRule="auto"/>
              <w:jc w:val="center"/>
              <w:rPr>
                <w:rFonts w:ascii="宋体" w:hAnsi="宋体"/>
                <w:bCs/>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szCs w:val="21"/>
              </w:rPr>
            </w:pPr>
            <w:r>
              <w:rPr>
                <w:rFonts w:ascii="宋体" w:hAnsi="宋体"/>
                <w:bCs/>
                <w:szCs w:val="21"/>
              </w:rPr>
              <w:t>2</w:t>
            </w:r>
          </w:p>
        </w:tc>
        <w:tc>
          <w:tcPr>
            <w:tcW w:w="2462" w:type="pct"/>
            <w:vAlign w:val="center"/>
          </w:tcPr>
          <w:p>
            <w:pPr>
              <w:rPr>
                <w:rFonts w:ascii="宋体" w:hAnsi="宋体"/>
                <w:bCs/>
                <w:szCs w:val="21"/>
              </w:rPr>
            </w:pPr>
          </w:p>
        </w:tc>
        <w:tc>
          <w:tcPr>
            <w:tcW w:w="748" w:type="pct"/>
            <w:vAlign w:val="center"/>
          </w:tcPr>
          <w:p>
            <w:pPr>
              <w:pStyle w:val="21"/>
              <w:spacing w:line="240" w:lineRule="auto"/>
              <w:jc w:val="center"/>
              <w:rPr>
                <w:rFonts w:ascii="宋体" w:hAnsi="宋体"/>
                <w:bCs/>
                <w:szCs w:val="21"/>
              </w:rPr>
            </w:pPr>
          </w:p>
        </w:tc>
        <w:tc>
          <w:tcPr>
            <w:tcW w:w="831" w:type="pct"/>
            <w:vAlign w:val="center"/>
          </w:tcPr>
          <w:p>
            <w:pPr>
              <w:pStyle w:val="21"/>
              <w:spacing w:line="240" w:lineRule="auto"/>
              <w:jc w:val="center"/>
              <w:rPr>
                <w:rFonts w:ascii="宋体" w:hAnsi="宋体"/>
                <w:bCs/>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szCs w:val="21"/>
              </w:rPr>
            </w:pPr>
            <w:r>
              <w:rPr>
                <w:rFonts w:ascii="宋体" w:hAnsi="宋体"/>
                <w:bCs/>
                <w:szCs w:val="21"/>
              </w:rPr>
              <w:t>…</w:t>
            </w:r>
          </w:p>
        </w:tc>
        <w:tc>
          <w:tcPr>
            <w:tcW w:w="2462" w:type="pct"/>
            <w:vAlign w:val="center"/>
          </w:tcPr>
          <w:p>
            <w:pPr>
              <w:jc w:val="center"/>
              <w:rPr>
                <w:rFonts w:ascii="宋体" w:hAnsi="宋体"/>
                <w:bCs/>
                <w:szCs w:val="21"/>
              </w:rPr>
            </w:pPr>
            <w:r>
              <w:rPr>
                <w:rFonts w:ascii="宋体" w:hAnsi="宋体"/>
                <w:bCs/>
                <w:szCs w:val="21"/>
              </w:rPr>
              <w:t>…</w:t>
            </w:r>
          </w:p>
        </w:tc>
        <w:tc>
          <w:tcPr>
            <w:tcW w:w="748" w:type="pct"/>
            <w:vAlign w:val="center"/>
          </w:tcPr>
          <w:p>
            <w:pPr>
              <w:pStyle w:val="15"/>
              <w:ind w:firstLine="0"/>
              <w:jc w:val="center"/>
              <w:rPr>
                <w:rFonts w:ascii="宋体" w:hAnsi="宋体" w:eastAsia="宋体"/>
                <w:bCs/>
                <w:sz w:val="21"/>
                <w:szCs w:val="21"/>
              </w:rPr>
            </w:pPr>
          </w:p>
        </w:tc>
        <w:tc>
          <w:tcPr>
            <w:tcW w:w="831" w:type="pct"/>
            <w:vAlign w:val="center"/>
          </w:tcPr>
          <w:p>
            <w:pPr>
              <w:pStyle w:val="15"/>
              <w:ind w:firstLine="0"/>
              <w:jc w:val="center"/>
              <w:rPr>
                <w:rFonts w:ascii="宋体" w:hAnsi="宋体" w:eastAsia="宋体"/>
                <w:bCs/>
                <w:sz w:val="21"/>
                <w:szCs w:val="21"/>
              </w:rPr>
            </w:pPr>
          </w:p>
        </w:tc>
        <w:tc>
          <w:tcPr>
            <w:tcW w:w="449" w:type="pct"/>
            <w:vAlign w:val="center"/>
          </w:tcPr>
          <w:p>
            <w:pPr>
              <w:pStyle w:val="15"/>
              <w:ind w:firstLine="0"/>
              <w:jc w:val="center"/>
              <w:rPr>
                <w:rFonts w:ascii="宋体" w:hAnsi="宋体" w:eastAsia="宋体"/>
                <w:bCs/>
                <w:sz w:val="21"/>
                <w:szCs w:val="21"/>
              </w:rPr>
            </w:pPr>
          </w:p>
        </w:tc>
      </w:tr>
    </w:tbl>
    <w:p>
      <w:pPr>
        <w:pStyle w:val="15"/>
        <w:ind w:firstLine="0"/>
        <w:rPr>
          <w:rFonts w:ascii="宋体" w:hAnsi="宋体" w:eastAsia="宋体"/>
          <w:sz w:val="21"/>
          <w:szCs w:val="21"/>
        </w:rPr>
      </w:pPr>
      <w:r>
        <w:rPr>
          <w:rFonts w:ascii="宋体" w:hAnsi="宋体" w:eastAsia="宋体"/>
          <w:sz w:val="21"/>
          <w:szCs w:val="21"/>
        </w:rPr>
        <w:t>说明：</w:t>
      </w:r>
    </w:p>
    <w:p>
      <w:pPr>
        <w:pStyle w:val="15"/>
        <w:rPr>
          <w:rFonts w:ascii="宋体" w:hAnsi="宋体" w:eastAsia="宋体"/>
          <w:bCs/>
          <w:sz w:val="21"/>
          <w:szCs w:val="21"/>
        </w:rPr>
      </w:pPr>
      <w:r>
        <w:rPr>
          <w:rFonts w:ascii="宋体" w:hAnsi="宋体" w:eastAsia="宋体"/>
          <w:bCs/>
          <w:sz w:val="21"/>
          <w:szCs w:val="21"/>
        </w:rPr>
        <w:t>1.</w:t>
      </w:r>
      <w:r>
        <w:rPr>
          <w:rFonts w:hint="eastAsia" w:ascii="宋体" w:hAnsi="宋体" w:eastAsia="宋体"/>
          <w:bCs/>
          <w:sz w:val="21"/>
          <w:szCs w:val="21"/>
        </w:rPr>
        <w:t>采购需求中标注“★”号条款为实质性条款，若有任何一条负偏离或不满足或未响应则导致无效响应。响应文件中须按照“★”条款的要求逐条响应，若要求证明材料的，还须提供相应的证明材料，否则视为不满足的情形，将作无效响应处理。</w:t>
      </w:r>
    </w:p>
    <w:p>
      <w:pPr>
        <w:pStyle w:val="15"/>
        <w:rPr>
          <w:rFonts w:ascii="宋体" w:hAnsi="宋体" w:eastAsia="宋体"/>
          <w:bCs/>
          <w:sz w:val="21"/>
          <w:szCs w:val="21"/>
        </w:rPr>
      </w:pPr>
      <w:r>
        <w:rPr>
          <w:rFonts w:ascii="宋体" w:hAnsi="宋体" w:eastAsia="宋体"/>
          <w:bCs/>
          <w:sz w:val="21"/>
          <w:szCs w:val="21"/>
        </w:rPr>
        <w:t>2.</w:t>
      </w:r>
      <w:r>
        <w:rPr>
          <w:rFonts w:hint="eastAsia" w:ascii="宋体" w:hAnsi="宋体" w:eastAsia="宋体"/>
          <w:bCs/>
          <w:sz w:val="21"/>
          <w:szCs w:val="21"/>
        </w:rPr>
        <w:t>“响应情况”应填写供应商的具体承诺，如果供应商承诺完全按照磋商文件规定执行的，也可以填写“完全按照磋商文件规定执行”</w:t>
      </w:r>
      <w:r>
        <w:rPr>
          <w:rFonts w:ascii="宋体" w:hAnsi="宋体" w:eastAsia="宋体"/>
          <w:bCs/>
          <w:sz w:val="21"/>
          <w:szCs w:val="21"/>
        </w:rPr>
        <w:t>。</w:t>
      </w:r>
    </w:p>
    <w:p>
      <w:pPr>
        <w:pStyle w:val="15"/>
        <w:rPr>
          <w:rFonts w:ascii="宋体" w:hAnsi="宋体" w:eastAsia="宋体"/>
          <w:bCs/>
          <w:sz w:val="21"/>
          <w:szCs w:val="21"/>
        </w:rPr>
      </w:pPr>
      <w:r>
        <w:rPr>
          <w:rFonts w:ascii="宋体" w:hAnsi="宋体" w:eastAsia="宋体"/>
          <w:bCs/>
          <w:sz w:val="21"/>
          <w:szCs w:val="21"/>
        </w:rPr>
        <w:t>3.“偏离情况”项填写“正偏离”或“无偏离”或“负偏离”，</w:t>
      </w:r>
      <w:r>
        <w:rPr>
          <w:rFonts w:hint="eastAsia" w:ascii="宋体" w:hAnsi="宋体" w:eastAsia="宋体"/>
          <w:bCs/>
          <w:sz w:val="21"/>
          <w:szCs w:val="21"/>
        </w:rPr>
        <w:t>供应商</w:t>
      </w:r>
      <w:r>
        <w:rPr>
          <w:rFonts w:ascii="宋体" w:hAnsi="宋体" w:eastAsia="宋体"/>
          <w:bCs/>
          <w:sz w:val="21"/>
          <w:szCs w:val="21"/>
        </w:rPr>
        <w:t>须真实体现偏离情况。其中正偏离是指承诺优于</w:t>
      </w:r>
      <w:r>
        <w:rPr>
          <w:rFonts w:hint="eastAsia" w:ascii="宋体" w:hAnsi="宋体" w:eastAsia="宋体"/>
          <w:bCs/>
          <w:sz w:val="21"/>
          <w:szCs w:val="21"/>
        </w:rPr>
        <w:t>磋商</w:t>
      </w:r>
      <w:r>
        <w:rPr>
          <w:rFonts w:ascii="宋体" w:hAnsi="宋体" w:eastAsia="宋体"/>
          <w:bCs/>
          <w:sz w:val="21"/>
          <w:szCs w:val="21"/>
        </w:rPr>
        <w:t>文件所规定的实质性条款内容；无偏离是指承诺完整满足</w:t>
      </w:r>
      <w:r>
        <w:rPr>
          <w:rFonts w:hint="eastAsia" w:ascii="宋体" w:hAnsi="宋体" w:eastAsia="宋体"/>
          <w:bCs/>
          <w:sz w:val="21"/>
          <w:szCs w:val="21"/>
        </w:rPr>
        <w:t>磋商</w:t>
      </w:r>
      <w:r>
        <w:rPr>
          <w:rFonts w:ascii="宋体" w:hAnsi="宋体" w:eastAsia="宋体"/>
          <w:bCs/>
          <w:sz w:val="21"/>
          <w:szCs w:val="21"/>
        </w:rPr>
        <w:t>文件所规定的实质性条款内容；负偏离是指承诺劣于</w:t>
      </w:r>
      <w:r>
        <w:rPr>
          <w:rFonts w:hint="eastAsia" w:ascii="宋体" w:hAnsi="宋体" w:eastAsia="宋体"/>
          <w:bCs/>
          <w:sz w:val="21"/>
          <w:szCs w:val="21"/>
        </w:rPr>
        <w:t>磋商</w:t>
      </w:r>
      <w:r>
        <w:rPr>
          <w:rFonts w:ascii="宋体" w:hAnsi="宋体" w:eastAsia="宋体"/>
          <w:bCs/>
          <w:sz w:val="21"/>
          <w:szCs w:val="21"/>
        </w:rPr>
        <w:t>文件所规定的实质性条款内容。</w:t>
      </w:r>
    </w:p>
    <w:p>
      <w:pPr>
        <w:pStyle w:val="15"/>
        <w:rPr>
          <w:rFonts w:ascii="宋体" w:hAnsi="宋体" w:eastAsia="宋体"/>
          <w:bCs/>
          <w:sz w:val="21"/>
          <w:szCs w:val="21"/>
        </w:rPr>
      </w:pPr>
      <w:r>
        <w:rPr>
          <w:rFonts w:ascii="宋体" w:hAnsi="宋体" w:eastAsia="宋体"/>
          <w:bCs/>
          <w:sz w:val="21"/>
          <w:szCs w:val="21"/>
        </w:rPr>
        <w:t>4.</w:t>
      </w:r>
      <w:r>
        <w:rPr>
          <w:rFonts w:hint="eastAsia" w:ascii="宋体" w:hAnsi="宋体" w:eastAsia="宋体"/>
          <w:bCs/>
          <w:sz w:val="21"/>
          <w:szCs w:val="21"/>
        </w:rPr>
        <w:t>“说明”项填写具体的偏离情况，如“无偏离”可不用填写。</w:t>
      </w:r>
    </w:p>
    <w:p>
      <w:pPr>
        <w:rPr>
          <w:rFonts w:ascii="宋体" w:hAnsi="宋体"/>
        </w:rPr>
      </w:pPr>
    </w:p>
    <w:p>
      <w:pPr>
        <w:rPr>
          <w:rFonts w:ascii="宋体" w:hAnsi="宋体"/>
        </w:rPr>
      </w:pPr>
    </w:p>
    <w:p>
      <w:pPr>
        <w:pStyle w:val="358"/>
        <w:wordWrap w:val="0"/>
        <w:spacing w:line="480" w:lineRule="auto"/>
        <w:ind w:firstLine="0" w:firstLineChars="0"/>
        <w:jc w:val="right"/>
        <w:rPr>
          <w:lang w:eastAsia="zh-CN"/>
        </w:rPr>
      </w:pPr>
      <w:r>
        <w:rPr>
          <w:rFonts w:hint="eastAsia"/>
          <w:kern w:val="0"/>
          <w:lang w:eastAsia="zh-CN"/>
        </w:rPr>
        <w:t>供应商</w:t>
      </w:r>
      <w:r>
        <w:rPr>
          <w:rFonts w:hint="eastAsia"/>
          <w:lang w:eastAsia="zh-CN"/>
        </w:rPr>
        <w:t>法定代表人或其授权委托人（签字或盖章）：</w:t>
      </w:r>
    </w:p>
    <w:p>
      <w:pPr>
        <w:pStyle w:val="358"/>
        <w:wordWrap w:val="0"/>
        <w:spacing w:line="480" w:lineRule="auto"/>
        <w:ind w:firstLine="0" w:firstLineChars="0"/>
        <w:jc w:val="right"/>
        <w:rPr>
          <w:lang w:eastAsia="zh-CN"/>
        </w:rPr>
      </w:pPr>
      <w:r>
        <w:rPr>
          <w:rFonts w:hint="eastAsia"/>
          <w:lang w:eastAsia="zh-CN"/>
        </w:rPr>
        <w:t>供应商名称（盖章）：</w:t>
      </w:r>
    </w:p>
    <w:p>
      <w:pPr>
        <w:jc w:val="right"/>
        <w:rPr>
          <w:rFonts w:ascii="宋体" w:hAnsi="宋体"/>
          <w:sz w:val="24"/>
        </w:rPr>
      </w:pPr>
      <w:r>
        <w:rPr>
          <w:rFonts w:hint="eastAsia" w:ascii="宋体" w:hAnsi="宋体"/>
          <w:sz w:val="24"/>
        </w:rPr>
        <w:t>日期：</w:t>
      </w:r>
      <w:r>
        <w:rPr>
          <w:rFonts w:ascii="宋体" w:hAnsi="宋体"/>
          <w:sz w:val="24"/>
        </w:rPr>
        <w:t>年月日</w:t>
      </w:r>
    </w:p>
    <w:p>
      <w:pPr>
        <w:rPr>
          <w:rFonts w:ascii="宋体" w:hAnsi="宋体"/>
          <w:sz w:val="24"/>
        </w:rPr>
      </w:pPr>
    </w:p>
    <w:p>
      <w:pPr>
        <w:rPr>
          <w:rFonts w:ascii="宋体" w:hAnsi="宋体"/>
          <w:sz w:val="24"/>
        </w:rPr>
      </w:pPr>
      <w:r>
        <w:rPr>
          <w:rFonts w:ascii="宋体" w:hAnsi="宋体"/>
          <w:sz w:val="24"/>
        </w:rPr>
        <w:br w:type="page"/>
      </w:r>
    </w:p>
    <w:p>
      <w:pPr>
        <w:pStyle w:val="5"/>
        <w:keepNext w:val="0"/>
        <w:keepLines w:val="0"/>
        <w:numPr>
          <w:ilvl w:val="0"/>
          <w:numId w:val="19"/>
        </w:numPr>
        <w:spacing w:before="120" w:after="120" w:line="240" w:lineRule="auto"/>
        <w:rPr>
          <w:rFonts w:ascii="宋体" w:hAnsi="宋体"/>
          <w:szCs w:val="24"/>
        </w:rPr>
      </w:pPr>
      <w:r>
        <w:rPr>
          <w:rFonts w:hint="eastAsia" w:ascii="宋体" w:hAnsi="宋体"/>
          <w:szCs w:val="24"/>
        </w:rPr>
        <w:t>采购需求技术响应表</w:t>
      </w:r>
    </w:p>
    <w:p>
      <w:pPr>
        <w:jc w:val="center"/>
        <w:rPr>
          <w:rFonts w:ascii="宋体" w:hAnsi="宋体"/>
          <w:sz w:val="24"/>
        </w:rPr>
      </w:pPr>
      <w:r>
        <w:rPr>
          <w:rFonts w:hint="eastAsia" w:ascii="宋体" w:hAnsi="宋体" w:cs="宋体"/>
          <w:b/>
          <w:bCs/>
          <w:sz w:val="28"/>
          <w:szCs w:val="28"/>
        </w:rPr>
        <w:t>采购需求</w:t>
      </w:r>
      <w:r>
        <w:rPr>
          <w:rFonts w:ascii="宋体" w:hAnsi="宋体" w:cs="宋体"/>
          <w:b/>
          <w:bCs/>
          <w:sz w:val="28"/>
          <w:szCs w:val="28"/>
        </w:rPr>
        <w:t>响应表</w:t>
      </w:r>
    </w:p>
    <w:p>
      <w:pPr>
        <w:rPr>
          <w:rFonts w:ascii="宋体" w:hAnsi="宋体"/>
          <w:bCs/>
          <w:sz w:val="24"/>
        </w:rPr>
      </w:pPr>
      <w:r>
        <w:rPr>
          <w:rFonts w:ascii="宋体" w:hAnsi="宋体"/>
          <w:bCs/>
          <w:sz w:val="24"/>
        </w:rPr>
        <w:t>项目名称：</w:t>
      </w:r>
    </w:p>
    <w:p>
      <w:pPr>
        <w:rPr>
          <w:rFonts w:ascii="宋体" w:hAnsi="宋体"/>
          <w:sz w:val="24"/>
        </w:rPr>
      </w:pPr>
      <w:r>
        <w:rPr>
          <w:rFonts w:hint="eastAsia" w:ascii="宋体" w:hAnsi="宋体"/>
          <w:bCs/>
          <w:sz w:val="24"/>
        </w:rPr>
        <w:t>项目编号</w:t>
      </w:r>
      <w:r>
        <w:rPr>
          <w:rFonts w:ascii="宋体" w:hAnsi="宋体"/>
          <w:bCs/>
          <w:sz w:val="24"/>
        </w:rPr>
        <w:t>：_________________</w:t>
      </w:r>
    </w:p>
    <w:tbl>
      <w:tblPr>
        <w:tblStyle w:val="4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2752"/>
        <w:gridCol w:w="1656"/>
        <w:gridCol w:w="2164"/>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序号</w:t>
            </w:r>
          </w:p>
        </w:tc>
        <w:tc>
          <w:tcPr>
            <w:tcW w:w="1489"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磋商文件要求</w:t>
            </w:r>
          </w:p>
        </w:tc>
        <w:tc>
          <w:tcPr>
            <w:tcW w:w="896"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响应情况</w:t>
            </w:r>
          </w:p>
        </w:tc>
        <w:tc>
          <w:tcPr>
            <w:tcW w:w="1171"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偏离情况</w:t>
            </w:r>
          </w:p>
        </w:tc>
        <w:tc>
          <w:tcPr>
            <w:tcW w:w="921"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ascii="宋体" w:hAnsi="宋体"/>
                <w:szCs w:val="21"/>
              </w:rPr>
            </w:pPr>
            <w:r>
              <w:rPr>
                <w:rFonts w:hint="eastAsia" w:ascii="宋体" w:hAnsi="宋体"/>
                <w:b/>
                <w:szCs w:val="21"/>
              </w:rPr>
              <w:t>带“▲”的重要条款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hint="eastAsia" w:ascii="宋体" w:hAnsi="宋体"/>
                <w:szCs w:val="21"/>
              </w:rPr>
              <w:t>1</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hint="eastAsia" w:ascii="宋体" w:hAnsi="宋体"/>
                <w:szCs w:val="21"/>
              </w:rPr>
              <w:t>2</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ascii="宋体" w:hAnsi="宋体"/>
                <w:szCs w:val="21"/>
              </w:rPr>
              <w:t>……</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ascii="宋体" w:hAnsi="宋体"/>
                <w:szCs w:val="21"/>
              </w:rPr>
            </w:pPr>
            <w:r>
              <w:rPr>
                <w:rFonts w:hint="eastAsia" w:ascii="宋体" w:hAnsi="宋体"/>
                <w:b/>
                <w:szCs w:val="21"/>
              </w:rPr>
              <w:t>一般条款（除带“</w:t>
            </w:r>
            <w:r>
              <w:rPr>
                <w:rFonts w:hint="eastAsia" w:ascii="宋体" w:hAnsi="宋体"/>
                <w:b/>
                <w:bCs/>
                <w:szCs w:val="21"/>
              </w:rPr>
              <w:t>★</w:t>
            </w:r>
            <w:r>
              <w:rPr>
                <w:rFonts w:hint="eastAsia" w:ascii="宋体" w:hAnsi="宋体"/>
                <w:b/>
                <w:szCs w:val="21"/>
              </w:rPr>
              <w:t>”和“▲”之外的条款）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ascii="宋体" w:hAnsi="宋体"/>
                <w:szCs w:val="21"/>
              </w:rPr>
              <w:t>1</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ascii="宋体" w:hAnsi="宋体"/>
                <w:szCs w:val="21"/>
              </w:rPr>
              <w:t>2</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ascii="宋体" w:hAnsi="宋体"/>
                <w:szCs w:val="21"/>
              </w:rPr>
              <w:t>……</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bl>
    <w:p>
      <w:pPr>
        <w:adjustRightInd w:val="0"/>
        <w:snapToGrid w:val="0"/>
        <w:rPr>
          <w:rFonts w:ascii="宋体" w:hAnsi="宋体"/>
          <w:szCs w:val="21"/>
        </w:rPr>
      </w:pPr>
      <w:r>
        <w:rPr>
          <w:rFonts w:hint="eastAsia" w:ascii="宋体" w:hAnsi="宋体"/>
          <w:szCs w:val="21"/>
        </w:rPr>
        <w:t>说明：</w:t>
      </w:r>
    </w:p>
    <w:p>
      <w:pPr>
        <w:adjustRightInd w:val="0"/>
        <w:snapToGrid w:val="0"/>
        <w:ind w:firstLine="420" w:firstLineChars="200"/>
        <w:rPr>
          <w:rFonts w:ascii="宋体" w:hAnsi="宋体"/>
          <w:szCs w:val="21"/>
        </w:rPr>
      </w:pPr>
      <w:r>
        <w:rPr>
          <w:rFonts w:hint="eastAsia" w:ascii="宋体" w:hAnsi="宋体"/>
          <w:szCs w:val="21"/>
        </w:rPr>
        <w:t>1.供应商需对应磋商文件采购需求</w:t>
      </w:r>
      <w:r>
        <w:rPr>
          <w:rFonts w:hint="eastAsia" w:ascii="宋体" w:hAnsi="宋体"/>
          <w:bCs/>
          <w:szCs w:val="21"/>
        </w:rPr>
        <w:t>“▲”</w:t>
      </w:r>
      <w:r>
        <w:rPr>
          <w:rFonts w:hint="eastAsia" w:ascii="宋体" w:hAnsi="宋体"/>
          <w:szCs w:val="21"/>
        </w:rPr>
        <w:t>条款逐条响应并按要求填写上表，打“▲”号条款为重要需求条款（如有），若有部分“▲”条款未响应或不满足或负偏离，将根据评审要求影响其得分，但不作为无效响应处理；若要求提供证明材料，还须按要求提供证明材料，否则不予计分。</w:t>
      </w:r>
    </w:p>
    <w:p>
      <w:pPr>
        <w:adjustRightInd w:val="0"/>
        <w:snapToGrid w:val="0"/>
        <w:ind w:firstLine="420" w:firstLineChars="200"/>
        <w:rPr>
          <w:rFonts w:ascii="宋体" w:hAnsi="宋体"/>
          <w:szCs w:val="21"/>
        </w:rPr>
      </w:pPr>
      <w:r>
        <w:rPr>
          <w:rFonts w:hint="eastAsia" w:ascii="宋体" w:hAnsi="宋体"/>
          <w:szCs w:val="21"/>
        </w:rPr>
        <w:t>2</w:t>
      </w:r>
      <w:r>
        <w:rPr>
          <w:rFonts w:ascii="宋体" w:hAnsi="宋体"/>
          <w:szCs w:val="21"/>
        </w:rPr>
        <w:t>.</w:t>
      </w:r>
      <w:r>
        <w:rPr>
          <w:rFonts w:hint="eastAsia" w:ascii="宋体" w:hAnsi="宋体"/>
          <w:szCs w:val="21"/>
        </w:rPr>
        <w:t>对于除带“★”和“▲”之外的条款，如完全满足要求，也可在“磋商文件要求”处填写“所有条款”，“</w:t>
      </w:r>
      <w:bookmarkStart w:id="654" w:name="_Hlk70674986"/>
      <w:r>
        <w:rPr>
          <w:rFonts w:hint="eastAsia" w:ascii="宋体" w:hAnsi="宋体"/>
          <w:szCs w:val="21"/>
        </w:rPr>
        <w:t>响应</w:t>
      </w:r>
      <w:bookmarkEnd w:id="654"/>
      <w:r>
        <w:rPr>
          <w:rFonts w:hint="eastAsia" w:ascii="宋体" w:hAnsi="宋体"/>
          <w:szCs w:val="21"/>
        </w:rPr>
        <w:t>情况”处填写“完全按照磋商文件规定执行”，“偏离情况”处填写“无偏离”，可以不用逐条响应。如存在偏离项，可以只填写偏离项，未填写的条款视为完全满足磋商文件要求，可以不用逐条响应。</w:t>
      </w:r>
    </w:p>
    <w:p>
      <w:pPr>
        <w:adjustRightInd w:val="0"/>
        <w:snapToGrid w:val="0"/>
        <w:ind w:firstLine="420" w:firstLineChars="200"/>
        <w:rPr>
          <w:rFonts w:ascii="宋体" w:hAnsi="宋体"/>
          <w:szCs w:val="21"/>
        </w:rPr>
      </w:pPr>
      <w:r>
        <w:rPr>
          <w:rFonts w:ascii="宋体" w:hAnsi="宋体"/>
          <w:szCs w:val="21"/>
        </w:rPr>
        <w:t>3</w:t>
      </w:r>
      <w:r>
        <w:rPr>
          <w:rFonts w:hint="eastAsia" w:ascii="宋体" w:hAnsi="宋体"/>
          <w:szCs w:val="21"/>
        </w:rPr>
        <w:t>.“响应情况”应填写供应商的具体承诺，如果供应商承诺完全按照磋商文件规定执行的，也可以填写“完全按照磋商文件规定执行”。</w:t>
      </w:r>
    </w:p>
    <w:p>
      <w:pPr>
        <w:adjustRightInd w:val="0"/>
        <w:snapToGrid w:val="0"/>
        <w:ind w:firstLine="420" w:firstLineChars="200"/>
        <w:rPr>
          <w:rFonts w:ascii="宋体" w:hAnsi="宋体"/>
          <w:szCs w:val="21"/>
        </w:rPr>
      </w:pPr>
      <w:r>
        <w:rPr>
          <w:rFonts w:ascii="宋体" w:hAnsi="宋体"/>
          <w:szCs w:val="21"/>
        </w:rPr>
        <w:t>4</w:t>
      </w:r>
      <w:r>
        <w:rPr>
          <w:rFonts w:hint="eastAsia" w:ascii="宋体" w:hAnsi="宋体"/>
          <w:szCs w:val="21"/>
        </w:rPr>
        <w:t>.“偏离情况”项填写“正偏离”或“无偏离”或“负偏离”，供应商须真实体现偏离情况。其中正偏离是指承诺优于磋商文件所规定的内容；无偏离是指承诺完整满足磋商文件所规定的内容；负偏离是指承诺劣于磋商文件所规定的内容。</w:t>
      </w:r>
    </w:p>
    <w:p>
      <w:pPr>
        <w:pStyle w:val="15"/>
        <w:rPr>
          <w:rFonts w:ascii="宋体" w:hAnsi="宋体" w:eastAsia="宋体"/>
          <w:bCs/>
          <w:sz w:val="21"/>
          <w:szCs w:val="21"/>
        </w:rPr>
      </w:pPr>
      <w:bookmarkStart w:id="655" w:name="_Hlk104237726"/>
      <w:r>
        <w:rPr>
          <w:rFonts w:ascii="宋体" w:hAnsi="宋体" w:eastAsia="宋体"/>
          <w:bCs/>
          <w:sz w:val="21"/>
          <w:szCs w:val="21"/>
        </w:rPr>
        <w:t>5.</w:t>
      </w:r>
      <w:r>
        <w:rPr>
          <w:rFonts w:hint="eastAsia" w:ascii="宋体" w:hAnsi="宋体" w:eastAsia="宋体"/>
          <w:bCs/>
          <w:sz w:val="21"/>
          <w:szCs w:val="21"/>
        </w:rPr>
        <w:t>“说明”项填写具体的偏离情况，如“无偏离”可不用填写。</w:t>
      </w:r>
    </w:p>
    <w:bookmarkEnd w:id="655"/>
    <w:p>
      <w:pPr>
        <w:adjustRightInd w:val="0"/>
        <w:snapToGrid w:val="0"/>
        <w:rPr>
          <w:rFonts w:ascii="宋体" w:hAnsi="宋体"/>
          <w:szCs w:val="21"/>
        </w:rPr>
      </w:pPr>
    </w:p>
    <w:p>
      <w:pPr>
        <w:pStyle w:val="358"/>
        <w:wordWrap w:val="0"/>
        <w:spacing w:line="480" w:lineRule="auto"/>
        <w:ind w:firstLine="0" w:firstLineChars="0"/>
        <w:jc w:val="right"/>
        <w:rPr>
          <w:lang w:eastAsia="zh-CN"/>
        </w:rPr>
      </w:pPr>
      <w:r>
        <w:rPr>
          <w:rFonts w:hint="eastAsia"/>
          <w:lang w:eastAsia="zh-CN"/>
        </w:rPr>
        <w:t>供应商法定代表人或其授权委托人（签字或盖章）：</w:t>
      </w:r>
    </w:p>
    <w:p>
      <w:pPr>
        <w:pStyle w:val="358"/>
        <w:wordWrap w:val="0"/>
        <w:spacing w:line="480" w:lineRule="auto"/>
        <w:ind w:firstLine="0" w:firstLineChars="0"/>
        <w:jc w:val="right"/>
        <w:rPr>
          <w:lang w:eastAsia="zh-CN"/>
        </w:rPr>
      </w:pPr>
      <w:r>
        <w:rPr>
          <w:rFonts w:hint="eastAsia"/>
          <w:lang w:eastAsia="zh-CN"/>
        </w:rPr>
        <w:t>供应商名称（盖章）：</w:t>
      </w:r>
    </w:p>
    <w:p>
      <w:pPr>
        <w:jc w:val="right"/>
        <w:rPr>
          <w:rFonts w:ascii="宋体" w:hAnsi="宋体"/>
          <w:sz w:val="24"/>
          <w:u w:val="single"/>
        </w:rPr>
      </w:pPr>
      <w:r>
        <w:rPr>
          <w:rFonts w:hint="eastAsia" w:ascii="宋体" w:hAnsi="宋体"/>
          <w:sz w:val="24"/>
        </w:rPr>
        <w:t>日期：</w:t>
      </w:r>
      <w:r>
        <w:rPr>
          <w:rFonts w:ascii="宋体" w:hAnsi="宋体"/>
          <w:sz w:val="24"/>
        </w:rPr>
        <w:t>年月</w:t>
      </w:r>
      <w:r>
        <w:rPr>
          <w:rFonts w:hint="eastAsia" w:ascii="宋体" w:hAnsi="宋体"/>
          <w:sz w:val="24"/>
        </w:rPr>
        <w:t>日</w:t>
      </w:r>
    </w:p>
    <w:p>
      <w:pPr>
        <w:pStyle w:val="5"/>
        <w:keepNext w:val="0"/>
        <w:keepLines w:val="0"/>
        <w:numPr>
          <w:ilvl w:val="0"/>
          <w:numId w:val="19"/>
        </w:numPr>
        <w:spacing w:before="120" w:after="120" w:line="240" w:lineRule="auto"/>
        <w:rPr>
          <w:rFonts w:ascii="宋体" w:hAnsi="宋体"/>
          <w:szCs w:val="24"/>
        </w:rPr>
      </w:pPr>
      <w:r>
        <w:rPr>
          <w:rFonts w:hint="eastAsia" w:ascii="宋体" w:hAnsi="宋体"/>
          <w:szCs w:val="24"/>
        </w:rPr>
        <w:t>采购需求商务响应表</w:t>
      </w:r>
    </w:p>
    <w:p>
      <w:pPr>
        <w:jc w:val="center"/>
        <w:rPr>
          <w:rFonts w:ascii="宋体" w:hAnsi="宋体"/>
          <w:sz w:val="24"/>
        </w:rPr>
      </w:pPr>
      <w:r>
        <w:rPr>
          <w:rFonts w:hint="eastAsia" w:ascii="宋体" w:hAnsi="宋体" w:cs="宋体"/>
          <w:b/>
          <w:bCs/>
          <w:sz w:val="28"/>
          <w:szCs w:val="28"/>
        </w:rPr>
        <w:t>采购需求</w:t>
      </w:r>
      <w:r>
        <w:rPr>
          <w:rFonts w:ascii="宋体" w:hAnsi="宋体" w:cs="宋体"/>
          <w:b/>
          <w:bCs/>
          <w:sz w:val="28"/>
          <w:szCs w:val="28"/>
        </w:rPr>
        <w:t>响应表</w:t>
      </w:r>
    </w:p>
    <w:p>
      <w:pPr>
        <w:rPr>
          <w:rFonts w:ascii="宋体" w:hAnsi="宋体"/>
          <w:bCs/>
          <w:sz w:val="24"/>
        </w:rPr>
      </w:pPr>
      <w:r>
        <w:rPr>
          <w:rFonts w:ascii="宋体" w:hAnsi="宋体"/>
          <w:bCs/>
          <w:sz w:val="24"/>
        </w:rPr>
        <w:t>项目名称：</w:t>
      </w:r>
    </w:p>
    <w:p>
      <w:pPr>
        <w:rPr>
          <w:rFonts w:ascii="宋体" w:hAnsi="宋体"/>
          <w:sz w:val="24"/>
        </w:rPr>
      </w:pPr>
      <w:r>
        <w:rPr>
          <w:rFonts w:hint="eastAsia" w:ascii="宋体" w:hAnsi="宋体"/>
          <w:bCs/>
          <w:sz w:val="24"/>
        </w:rPr>
        <w:t>项目编号</w:t>
      </w:r>
      <w:r>
        <w:rPr>
          <w:rFonts w:ascii="宋体" w:hAnsi="宋体"/>
          <w:bCs/>
          <w:sz w:val="24"/>
        </w:rPr>
        <w:t>：_________________</w:t>
      </w:r>
    </w:p>
    <w:tbl>
      <w:tblPr>
        <w:tblStyle w:val="4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2752"/>
        <w:gridCol w:w="1656"/>
        <w:gridCol w:w="2164"/>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序号</w:t>
            </w:r>
          </w:p>
        </w:tc>
        <w:tc>
          <w:tcPr>
            <w:tcW w:w="1489"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磋商文件要求</w:t>
            </w:r>
          </w:p>
        </w:tc>
        <w:tc>
          <w:tcPr>
            <w:tcW w:w="896"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响应情况</w:t>
            </w:r>
          </w:p>
        </w:tc>
        <w:tc>
          <w:tcPr>
            <w:tcW w:w="1171"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偏离情况</w:t>
            </w:r>
          </w:p>
        </w:tc>
        <w:tc>
          <w:tcPr>
            <w:tcW w:w="921"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ascii="宋体" w:hAnsi="宋体"/>
                <w:szCs w:val="21"/>
              </w:rPr>
            </w:pPr>
            <w:r>
              <w:rPr>
                <w:rFonts w:hint="eastAsia" w:ascii="宋体" w:hAnsi="宋体"/>
                <w:b/>
                <w:szCs w:val="21"/>
              </w:rPr>
              <w:t>带“▲”的重要条款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hint="eastAsia" w:ascii="宋体" w:hAnsi="宋体"/>
                <w:szCs w:val="21"/>
              </w:rPr>
              <w:t>1</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hint="eastAsia" w:ascii="宋体" w:hAnsi="宋体"/>
                <w:szCs w:val="21"/>
              </w:rPr>
              <w:t>2</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ascii="宋体" w:hAnsi="宋体"/>
                <w:szCs w:val="21"/>
              </w:rPr>
              <w:t>……</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ascii="宋体" w:hAnsi="宋体"/>
                <w:szCs w:val="21"/>
              </w:rPr>
            </w:pPr>
            <w:r>
              <w:rPr>
                <w:rFonts w:hint="eastAsia" w:ascii="宋体" w:hAnsi="宋体"/>
                <w:b/>
                <w:szCs w:val="21"/>
              </w:rPr>
              <w:t>一般条款（除带“</w:t>
            </w:r>
            <w:r>
              <w:rPr>
                <w:rFonts w:hint="eastAsia" w:ascii="宋体" w:hAnsi="宋体"/>
                <w:b/>
                <w:bCs/>
                <w:szCs w:val="21"/>
              </w:rPr>
              <w:t>★</w:t>
            </w:r>
            <w:r>
              <w:rPr>
                <w:rFonts w:hint="eastAsia" w:ascii="宋体" w:hAnsi="宋体"/>
                <w:b/>
                <w:szCs w:val="21"/>
              </w:rPr>
              <w:t>”和“▲”之外的条款）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ascii="宋体" w:hAnsi="宋体"/>
                <w:szCs w:val="21"/>
              </w:rPr>
              <w:t>1</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ascii="宋体" w:hAnsi="宋体"/>
                <w:szCs w:val="21"/>
              </w:rPr>
              <w:t>2</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ascii="宋体" w:hAnsi="宋体"/>
                <w:szCs w:val="21"/>
              </w:rPr>
              <w:t>……</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bl>
    <w:p>
      <w:pPr>
        <w:adjustRightInd w:val="0"/>
        <w:snapToGrid w:val="0"/>
        <w:rPr>
          <w:rFonts w:ascii="宋体" w:hAnsi="宋体"/>
          <w:szCs w:val="21"/>
        </w:rPr>
      </w:pPr>
      <w:r>
        <w:rPr>
          <w:rFonts w:hint="eastAsia" w:ascii="宋体" w:hAnsi="宋体"/>
          <w:szCs w:val="21"/>
        </w:rPr>
        <w:t>说明：</w:t>
      </w:r>
    </w:p>
    <w:p>
      <w:pPr>
        <w:adjustRightInd w:val="0"/>
        <w:snapToGrid w:val="0"/>
        <w:ind w:firstLine="420" w:firstLineChars="200"/>
        <w:rPr>
          <w:rFonts w:ascii="宋体" w:hAnsi="宋体"/>
          <w:szCs w:val="21"/>
        </w:rPr>
      </w:pPr>
      <w:r>
        <w:rPr>
          <w:rFonts w:hint="eastAsia" w:ascii="宋体" w:hAnsi="宋体"/>
          <w:szCs w:val="21"/>
        </w:rPr>
        <w:t>1.供应商需对应磋商文件采购需求</w:t>
      </w:r>
      <w:r>
        <w:rPr>
          <w:rFonts w:hint="eastAsia" w:ascii="宋体" w:hAnsi="宋体"/>
          <w:bCs/>
          <w:szCs w:val="21"/>
        </w:rPr>
        <w:t>“▲”</w:t>
      </w:r>
      <w:r>
        <w:rPr>
          <w:rFonts w:hint="eastAsia" w:ascii="宋体" w:hAnsi="宋体"/>
          <w:szCs w:val="21"/>
        </w:rPr>
        <w:t>条款逐条响应并按要求填写上表，打“▲”号条款为重要需求条款（如有），若有部分“▲”条款未响应或不满足或负偏离，将根据评审要求影响其得分，但不作为无效响应处理；若要求提供证明材料，还须按要求提供证明材料，否则不予计分。</w:t>
      </w:r>
    </w:p>
    <w:p>
      <w:pPr>
        <w:adjustRightInd w:val="0"/>
        <w:snapToGrid w:val="0"/>
        <w:ind w:firstLine="420" w:firstLineChars="200"/>
        <w:rPr>
          <w:rFonts w:ascii="宋体" w:hAnsi="宋体"/>
          <w:szCs w:val="21"/>
        </w:rPr>
      </w:pPr>
      <w:r>
        <w:rPr>
          <w:rFonts w:hint="eastAsia" w:ascii="宋体" w:hAnsi="宋体"/>
          <w:szCs w:val="21"/>
        </w:rPr>
        <w:t>2</w:t>
      </w:r>
      <w:r>
        <w:rPr>
          <w:rFonts w:ascii="宋体" w:hAnsi="宋体"/>
          <w:szCs w:val="21"/>
        </w:rPr>
        <w:t>.</w:t>
      </w:r>
      <w:r>
        <w:rPr>
          <w:rFonts w:hint="eastAsia" w:ascii="宋体" w:hAnsi="宋体"/>
          <w:szCs w:val="21"/>
        </w:rPr>
        <w:t>对于除带“★”和“▲”之外的条款，如完全满足要求，也可在“磋商文件要求”处填写“所有条款”，“响应情况”处填写“完全按照磋商文件规定执行”，“偏离情况”处填写“无偏离”，可以不用逐条响应。如存在偏离项，可以只填写偏离项，未填写的条款视为完全满足磋商文件要求，可以不用逐条响应。</w:t>
      </w:r>
    </w:p>
    <w:p>
      <w:pPr>
        <w:adjustRightInd w:val="0"/>
        <w:snapToGrid w:val="0"/>
        <w:ind w:firstLine="420" w:firstLineChars="200"/>
        <w:rPr>
          <w:rFonts w:ascii="宋体" w:hAnsi="宋体"/>
          <w:szCs w:val="21"/>
        </w:rPr>
      </w:pPr>
      <w:r>
        <w:rPr>
          <w:rFonts w:ascii="宋体" w:hAnsi="宋体"/>
          <w:szCs w:val="21"/>
        </w:rPr>
        <w:t>3</w:t>
      </w:r>
      <w:r>
        <w:rPr>
          <w:rFonts w:hint="eastAsia" w:ascii="宋体" w:hAnsi="宋体"/>
          <w:szCs w:val="21"/>
        </w:rPr>
        <w:t>.“响应情况”应填写供应商的具体承诺，如果供应商承诺完全按照磋商文件规定执行的，也可以填写“完全按照磋商文件规定执行”。</w:t>
      </w:r>
    </w:p>
    <w:p>
      <w:pPr>
        <w:adjustRightInd w:val="0"/>
        <w:snapToGrid w:val="0"/>
        <w:ind w:firstLine="420" w:firstLineChars="200"/>
        <w:rPr>
          <w:rFonts w:ascii="宋体" w:hAnsi="宋体"/>
          <w:szCs w:val="21"/>
        </w:rPr>
      </w:pPr>
      <w:r>
        <w:rPr>
          <w:rFonts w:ascii="宋体" w:hAnsi="宋体"/>
          <w:szCs w:val="21"/>
        </w:rPr>
        <w:t>4</w:t>
      </w:r>
      <w:r>
        <w:rPr>
          <w:rFonts w:hint="eastAsia" w:ascii="宋体" w:hAnsi="宋体"/>
          <w:szCs w:val="21"/>
        </w:rPr>
        <w:t>.“偏离情况”项填写“正偏离”或“无偏离”或“负偏离”，供应商须真实体现偏离情况。其中正偏离是指承诺优于磋商文件所规定的内容；无偏离是指承诺完整满足磋商文件所规定的内容；负偏离是指承诺劣于磋商文件所规定的内容。</w:t>
      </w:r>
    </w:p>
    <w:p>
      <w:pPr>
        <w:pStyle w:val="15"/>
        <w:rPr>
          <w:rFonts w:ascii="宋体" w:hAnsi="宋体" w:eastAsia="宋体"/>
          <w:bCs/>
          <w:sz w:val="21"/>
          <w:szCs w:val="21"/>
        </w:rPr>
      </w:pPr>
      <w:r>
        <w:rPr>
          <w:rFonts w:ascii="宋体" w:hAnsi="宋体" w:eastAsia="宋体"/>
          <w:bCs/>
          <w:sz w:val="21"/>
          <w:szCs w:val="21"/>
        </w:rPr>
        <w:t>5.</w:t>
      </w:r>
      <w:r>
        <w:rPr>
          <w:rFonts w:hint="eastAsia" w:ascii="宋体" w:hAnsi="宋体" w:eastAsia="宋体"/>
          <w:bCs/>
          <w:sz w:val="21"/>
          <w:szCs w:val="21"/>
        </w:rPr>
        <w:t>“说明”项填写具体的偏离情况，如“无偏离”可不用填写。</w:t>
      </w:r>
    </w:p>
    <w:p>
      <w:pPr>
        <w:adjustRightInd w:val="0"/>
        <w:snapToGrid w:val="0"/>
        <w:rPr>
          <w:rFonts w:ascii="宋体" w:hAnsi="宋体"/>
          <w:szCs w:val="21"/>
        </w:rPr>
      </w:pPr>
    </w:p>
    <w:p>
      <w:pPr>
        <w:pStyle w:val="358"/>
        <w:wordWrap w:val="0"/>
        <w:spacing w:line="480" w:lineRule="auto"/>
        <w:ind w:firstLine="0" w:firstLineChars="0"/>
        <w:jc w:val="right"/>
        <w:rPr>
          <w:lang w:eastAsia="zh-CN"/>
        </w:rPr>
      </w:pPr>
      <w:r>
        <w:rPr>
          <w:rFonts w:hint="eastAsia"/>
          <w:lang w:eastAsia="zh-CN"/>
        </w:rPr>
        <w:t>供应商法定代表人或其授权委托人（签字或盖章）：</w:t>
      </w:r>
    </w:p>
    <w:p>
      <w:pPr>
        <w:pStyle w:val="358"/>
        <w:wordWrap w:val="0"/>
        <w:spacing w:line="480" w:lineRule="auto"/>
        <w:ind w:firstLine="0" w:firstLineChars="0"/>
        <w:jc w:val="right"/>
        <w:rPr>
          <w:lang w:eastAsia="zh-CN"/>
        </w:rPr>
      </w:pPr>
      <w:r>
        <w:rPr>
          <w:rFonts w:hint="eastAsia"/>
          <w:lang w:eastAsia="zh-CN"/>
        </w:rPr>
        <w:t>供应商名称（盖章）：</w:t>
      </w:r>
    </w:p>
    <w:p>
      <w:pPr>
        <w:jc w:val="right"/>
        <w:rPr>
          <w:rFonts w:ascii="宋体" w:hAnsi="宋体"/>
          <w:sz w:val="24"/>
          <w:u w:val="single"/>
        </w:rPr>
      </w:pPr>
      <w:r>
        <w:rPr>
          <w:rFonts w:hint="eastAsia" w:ascii="宋体" w:hAnsi="宋体"/>
          <w:sz w:val="24"/>
        </w:rPr>
        <w:t>日期：</w:t>
      </w:r>
      <w:r>
        <w:rPr>
          <w:rFonts w:ascii="宋体" w:hAnsi="宋体"/>
          <w:sz w:val="24"/>
        </w:rPr>
        <w:t>年月</w:t>
      </w:r>
      <w:r>
        <w:rPr>
          <w:rFonts w:hint="eastAsia" w:ascii="宋体" w:hAnsi="宋体"/>
          <w:sz w:val="24"/>
        </w:rPr>
        <w:t>日</w:t>
      </w:r>
    </w:p>
    <w:p>
      <w:pPr>
        <w:pStyle w:val="5"/>
        <w:keepNext w:val="0"/>
        <w:keepLines w:val="0"/>
        <w:numPr>
          <w:ilvl w:val="0"/>
          <w:numId w:val="19"/>
        </w:numPr>
        <w:spacing w:before="120" w:after="120" w:line="240" w:lineRule="auto"/>
        <w:rPr>
          <w:rFonts w:ascii="宋体" w:hAnsi="宋体"/>
          <w:szCs w:val="24"/>
        </w:rPr>
      </w:pPr>
      <w:bookmarkStart w:id="656" w:name="_Toc112002446"/>
      <w:r>
        <w:rPr>
          <w:rFonts w:hint="eastAsia" w:ascii="宋体" w:hAnsi="宋体"/>
          <w:szCs w:val="24"/>
        </w:rPr>
        <w:t>承诺函</w:t>
      </w:r>
      <w:bookmarkEnd w:id="656"/>
    </w:p>
    <w:p>
      <w:pPr>
        <w:rPr>
          <w:rFonts w:ascii="宋体" w:hAnsi="宋体"/>
          <w:i/>
          <w:iCs/>
          <w:szCs w:val="21"/>
        </w:rPr>
      </w:pPr>
      <w:r>
        <w:rPr>
          <w:rFonts w:ascii="宋体" w:hAnsi="宋体"/>
          <w:i/>
          <w:iCs/>
          <w:szCs w:val="21"/>
        </w:rPr>
        <w:t>（对于采购需求写明“提供承诺”的条款，供应商可参照以下格式提供承诺）</w:t>
      </w:r>
    </w:p>
    <w:p>
      <w:pPr>
        <w:pStyle w:val="358"/>
        <w:ind w:firstLine="0" w:firstLineChars="0"/>
        <w:jc w:val="center"/>
        <w:rPr>
          <w:b/>
          <w:bCs/>
          <w:sz w:val="28"/>
          <w:szCs w:val="28"/>
          <w:lang w:eastAsia="zh-CN"/>
        </w:rPr>
      </w:pPr>
      <w:r>
        <w:rPr>
          <w:b/>
          <w:bCs/>
          <w:sz w:val="28"/>
          <w:szCs w:val="28"/>
          <w:lang w:eastAsia="zh-CN"/>
        </w:rPr>
        <w:t>承诺函</w:t>
      </w:r>
    </w:p>
    <w:p>
      <w:pPr>
        <w:rPr>
          <w:rFonts w:ascii="宋体" w:hAnsi="宋体"/>
          <w:sz w:val="24"/>
          <w:u w:val="single"/>
        </w:rPr>
      </w:pPr>
      <w:r>
        <w:rPr>
          <w:rFonts w:ascii="宋体" w:hAnsi="宋体"/>
          <w:sz w:val="24"/>
        </w:rPr>
        <w:t>致：</w:t>
      </w:r>
      <w:r>
        <w:rPr>
          <w:rFonts w:hint="eastAsia" w:ascii="宋体" w:hAnsi="宋体"/>
          <w:sz w:val="24"/>
          <w:u w:val="single"/>
        </w:rPr>
        <w:t>（采购人名称）</w:t>
      </w:r>
    </w:p>
    <w:p>
      <w:pPr>
        <w:ind w:firstLine="480" w:firstLineChars="200"/>
        <w:rPr>
          <w:rFonts w:ascii="宋体" w:hAnsi="宋体"/>
          <w:sz w:val="24"/>
        </w:rPr>
      </w:pPr>
      <w:r>
        <w:rPr>
          <w:rFonts w:ascii="宋体" w:hAnsi="宋体"/>
          <w:sz w:val="24"/>
        </w:rPr>
        <w:t>对于__________________项目（项目编号：__________________），我方郑重承诺如下：</w:t>
      </w:r>
    </w:p>
    <w:p>
      <w:pPr>
        <w:ind w:firstLine="480" w:firstLineChars="200"/>
        <w:rPr>
          <w:rFonts w:ascii="宋体" w:hAnsi="宋体"/>
          <w:sz w:val="24"/>
        </w:rPr>
      </w:pPr>
      <w:r>
        <w:rPr>
          <w:rFonts w:ascii="宋体" w:hAnsi="宋体"/>
          <w:sz w:val="24"/>
        </w:rPr>
        <w:t>如中标/成交，我方承诺严格落实采购文件以下条款：(建议逐条复制采购文件相关条款原文)</w:t>
      </w:r>
    </w:p>
    <w:p>
      <w:pPr>
        <w:ind w:firstLine="480" w:firstLineChars="200"/>
        <w:rPr>
          <w:rFonts w:ascii="宋体" w:hAnsi="宋体"/>
          <w:sz w:val="24"/>
        </w:rPr>
      </w:pPr>
      <w:r>
        <w:rPr>
          <w:rFonts w:ascii="宋体" w:hAnsi="宋体"/>
          <w:sz w:val="24"/>
        </w:rPr>
        <w:t>（一）星号</w:t>
      </w:r>
      <w:r>
        <w:rPr>
          <w:rFonts w:hint="eastAsia" w:ascii="宋体" w:hAnsi="宋体"/>
          <w:sz w:val="24"/>
        </w:rPr>
        <w:t>“</w:t>
      </w:r>
      <w:r>
        <w:rPr>
          <w:rFonts w:hint="eastAsia" w:ascii="宋体" w:hAnsi="宋体"/>
          <w:b/>
          <w:bCs/>
          <w:sz w:val="24"/>
        </w:rPr>
        <w:t>★</w:t>
      </w:r>
      <w:r>
        <w:rPr>
          <w:rFonts w:hint="eastAsia" w:ascii="宋体" w:hAnsi="宋体"/>
          <w:sz w:val="24"/>
        </w:rPr>
        <w:t>”</w:t>
      </w:r>
      <w:r>
        <w:rPr>
          <w:rFonts w:ascii="宋体" w:hAnsi="宋体"/>
          <w:sz w:val="24"/>
        </w:rPr>
        <w:t>条款</w:t>
      </w:r>
    </w:p>
    <w:p>
      <w:pPr>
        <w:ind w:firstLine="480" w:firstLineChars="200"/>
        <w:rPr>
          <w:rFonts w:ascii="宋体" w:hAnsi="宋体"/>
          <w:sz w:val="24"/>
        </w:rPr>
      </w:pPr>
      <w:r>
        <w:rPr>
          <w:rFonts w:ascii="宋体" w:hAnsi="宋体"/>
          <w:sz w:val="24"/>
        </w:rPr>
        <w:t>1.</w:t>
      </w:r>
    </w:p>
    <w:p>
      <w:pPr>
        <w:ind w:firstLine="480" w:firstLineChars="200"/>
        <w:rPr>
          <w:rFonts w:ascii="宋体" w:hAnsi="宋体"/>
          <w:sz w:val="24"/>
        </w:rPr>
      </w:pPr>
      <w:r>
        <w:rPr>
          <w:rFonts w:ascii="宋体" w:hAnsi="宋体"/>
          <w:sz w:val="24"/>
        </w:rPr>
        <w:t>2.</w:t>
      </w:r>
    </w:p>
    <w:p>
      <w:pPr>
        <w:ind w:firstLine="480" w:firstLineChars="200"/>
        <w:rPr>
          <w:rFonts w:ascii="宋体" w:hAnsi="宋体"/>
          <w:sz w:val="24"/>
        </w:rPr>
      </w:pPr>
      <w:r>
        <w:rPr>
          <w:rFonts w:ascii="宋体" w:hAnsi="宋体"/>
          <w:sz w:val="24"/>
        </w:rPr>
        <w:t>3.</w:t>
      </w:r>
    </w:p>
    <w:p>
      <w:pPr>
        <w:ind w:firstLine="480" w:firstLineChars="200"/>
        <w:rPr>
          <w:rFonts w:ascii="宋体" w:hAnsi="宋体"/>
          <w:sz w:val="24"/>
        </w:rPr>
      </w:pPr>
      <w:r>
        <w:rPr>
          <w:rFonts w:ascii="宋体" w:hAnsi="宋体"/>
          <w:sz w:val="24"/>
        </w:rPr>
        <w:t>.........</w:t>
      </w:r>
    </w:p>
    <w:p>
      <w:pPr>
        <w:ind w:firstLine="480" w:firstLineChars="200"/>
        <w:rPr>
          <w:rFonts w:ascii="宋体" w:hAnsi="宋体"/>
          <w:sz w:val="24"/>
        </w:rPr>
      </w:pPr>
      <w:r>
        <w:rPr>
          <w:rFonts w:ascii="宋体" w:hAnsi="宋体"/>
          <w:sz w:val="24"/>
        </w:rPr>
        <w:t>（二）三角号</w:t>
      </w:r>
      <w:r>
        <w:rPr>
          <w:rFonts w:hint="eastAsia" w:ascii="宋体" w:hAnsi="宋体"/>
          <w:sz w:val="24"/>
        </w:rPr>
        <w:t>“</w:t>
      </w:r>
      <w:r>
        <w:rPr>
          <w:rFonts w:hint="eastAsia" w:ascii="宋体" w:hAnsi="宋体"/>
          <w:b/>
          <w:sz w:val="24"/>
        </w:rPr>
        <w:t>▲</w:t>
      </w:r>
      <w:r>
        <w:rPr>
          <w:rFonts w:hint="eastAsia" w:ascii="宋体" w:hAnsi="宋体"/>
          <w:sz w:val="24"/>
        </w:rPr>
        <w:t>”</w:t>
      </w:r>
      <w:r>
        <w:rPr>
          <w:rFonts w:ascii="宋体" w:hAnsi="宋体"/>
          <w:sz w:val="24"/>
        </w:rPr>
        <w:t>条款</w:t>
      </w:r>
    </w:p>
    <w:p>
      <w:pPr>
        <w:ind w:firstLine="480" w:firstLineChars="200"/>
        <w:rPr>
          <w:rFonts w:ascii="宋体" w:hAnsi="宋体"/>
          <w:sz w:val="24"/>
        </w:rPr>
      </w:pPr>
      <w:r>
        <w:rPr>
          <w:rFonts w:ascii="宋体" w:hAnsi="宋体"/>
          <w:sz w:val="24"/>
        </w:rPr>
        <w:t>1.</w:t>
      </w:r>
    </w:p>
    <w:p>
      <w:pPr>
        <w:ind w:firstLine="480" w:firstLineChars="200"/>
        <w:rPr>
          <w:rFonts w:ascii="宋体" w:hAnsi="宋体"/>
          <w:sz w:val="24"/>
        </w:rPr>
      </w:pPr>
      <w:r>
        <w:rPr>
          <w:rFonts w:ascii="宋体" w:hAnsi="宋体"/>
          <w:sz w:val="24"/>
        </w:rPr>
        <w:t>2.</w:t>
      </w:r>
    </w:p>
    <w:p>
      <w:pPr>
        <w:ind w:firstLine="480" w:firstLineChars="200"/>
        <w:rPr>
          <w:rFonts w:ascii="宋体" w:hAnsi="宋体"/>
          <w:sz w:val="24"/>
        </w:rPr>
      </w:pPr>
      <w:r>
        <w:rPr>
          <w:rFonts w:ascii="宋体" w:hAnsi="宋体"/>
          <w:sz w:val="24"/>
        </w:rPr>
        <w:t>3.</w:t>
      </w:r>
    </w:p>
    <w:p>
      <w:pPr>
        <w:ind w:firstLine="480" w:firstLineChars="200"/>
        <w:rPr>
          <w:rFonts w:ascii="宋体" w:hAnsi="宋体"/>
          <w:sz w:val="24"/>
        </w:rPr>
      </w:pPr>
      <w:r>
        <w:rPr>
          <w:rFonts w:ascii="宋体" w:hAnsi="宋体"/>
          <w:sz w:val="24"/>
        </w:rPr>
        <w:t>.........</w:t>
      </w:r>
    </w:p>
    <w:p>
      <w:pPr>
        <w:ind w:firstLine="480" w:firstLineChars="200"/>
        <w:rPr>
          <w:rFonts w:ascii="宋体" w:hAnsi="宋体"/>
          <w:sz w:val="24"/>
        </w:rPr>
      </w:pPr>
      <w:r>
        <w:rPr>
          <w:rFonts w:ascii="宋体" w:hAnsi="宋体"/>
          <w:sz w:val="24"/>
        </w:rPr>
        <w:t>（三）非星号</w:t>
      </w:r>
      <w:r>
        <w:rPr>
          <w:rFonts w:hint="eastAsia" w:ascii="宋体" w:hAnsi="宋体"/>
          <w:sz w:val="24"/>
        </w:rPr>
        <w:t>“</w:t>
      </w:r>
      <w:r>
        <w:rPr>
          <w:rFonts w:hint="eastAsia" w:ascii="宋体" w:hAnsi="宋体"/>
          <w:b/>
          <w:bCs/>
          <w:sz w:val="24"/>
        </w:rPr>
        <w:t>★</w:t>
      </w:r>
      <w:r>
        <w:rPr>
          <w:rFonts w:hint="eastAsia" w:ascii="宋体" w:hAnsi="宋体"/>
          <w:sz w:val="24"/>
        </w:rPr>
        <w:t>”</w:t>
      </w:r>
      <w:r>
        <w:rPr>
          <w:rFonts w:ascii="宋体" w:hAnsi="宋体"/>
          <w:sz w:val="24"/>
        </w:rPr>
        <w:t>、非三角号</w:t>
      </w:r>
      <w:r>
        <w:rPr>
          <w:rFonts w:hint="eastAsia" w:ascii="宋体" w:hAnsi="宋体"/>
          <w:sz w:val="24"/>
        </w:rPr>
        <w:t>“</w:t>
      </w:r>
      <w:r>
        <w:rPr>
          <w:rFonts w:hint="eastAsia" w:ascii="宋体" w:hAnsi="宋体"/>
          <w:b/>
          <w:sz w:val="24"/>
        </w:rPr>
        <w:t>▲</w:t>
      </w:r>
      <w:r>
        <w:rPr>
          <w:rFonts w:hint="eastAsia" w:ascii="宋体" w:hAnsi="宋体"/>
          <w:sz w:val="24"/>
        </w:rPr>
        <w:t>”</w:t>
      </w:r>
      <w:r>
        <w:rPr>
          <w:rFonts w:ascii="宋体" w:hAnsi="宋体"/>
          <w:sz w:val="24"/>
        </w:rPr>
        <w:t>条款</w:t>
      </w:r>
    </w:p>
    <w:p>
      <w:pPr>
        <w:ind w:firstLine="480" w:firstLineChars="200"/>
        <w:rPr>
          <w:rFonts w:ascii="宋体" w:hAnsi="宋体"/>
          <w:sz w:val="24"/>
        </w:rPr>
      </w:pPr>
      <w:r>
        <w:rPr>
          <w:rFonts w:ascii="宋体" w:hAnsi="宋体"/>
          <w:sz w:val="24"/>
        </w:rPr>
        <w:t>1.</w:t>
      </w:r>
    </w:p>
    <w:p>
      <w:pPr>
        <w:ind w:firstLine="480" w:firstLineChars="200"/>
        <w:rPr>
          <w:rFonts w:ascii="宋体" w:hAnsi="宋体"/>
          <w:sz w:val="24"/>
        </w:rPr>
      </w:pPr>
      <w:r>
        <w:rPr>
          <w:rFonts w:ascii="宋体" w:hAnsi="宋体"/>
          <w:sz w:val="24"/>
        </w:rPr>
        <w:t>2.</w:t>
      </w:r>
    </w:p>
    <w:p>
      <w:pPr>
        <w:ind w:firstLine="480" w:firstLineChars="200"/>
        <w:rPr>
          <w:rFonts w:ascii="宋体" w:hAnsi="宋体"/>
          <w:sz w:val="24"/>
        </w:rPr>
      </w:pPr>
      <w:r>
        <w:rPr>
          <w:rFonts w:ascii="宋体" w:hAnsi="宋体"/>
          <w:sz w:val="24"/>
        </w:rPr>
        <w:t>3.</w:t>
      </w:r>
    </w:p>
    <w:p>
      <w:pPr>
        <w:ind w:firstLine="480" w:firstLineChars="200"/>
        <w:rPr>
          <w:rFonts w:ascii="宋体" w:hAnsi="宋体"/>
          <w:sz w:val="24"/>
        </w:rPr>
      </w:pPr>
      <w:r>
        <w:rPr>
          <w:rFonts w:ascii="宋体" w:hAnsi="宋体"/>
          <w:sz w:val="24"/>
        </w:rPr>
        <w:t>.........</w:t>
      </w:r>
    </w:p>
    <w:p>
      <w:pPr>
        <w:pStyle w:val="21"/>
      </w:pPr>
    </w:p>
    <w:p>
      <w:pPr>
        <w:ind w:firstLine="480"/>
        <w:rPr>
          <w:rFonts w:ascii="宋体" w:hAnsi="宋体"/>
          <w:sz w:val="24"/>
        </w:rPr>
      </w:pPr>
      <w:r>
        <w:rPr>
          <w:rFonts w:ascii="宋体" w:hAnsi="宋体"/>
          <w:sz w:val="24"/>
        </w:rPr>
        <w:t>特此承诺。</w:t>
      </w:r>
    </w:p>
    <w:p>
      <w:pPr>
        <w:pStyle w:val="21"/>
        <w:rPr>
          <w:rFonts w:ascii="宋体" w:hAnsi="宋体"/>
        </w:rPr>
      </w:pPr>
    </w:p>
    <w:p>
      <w:pPr>
        <w:pStyle w:val="358"/>
        <w:wordWrap w:val="0"/>
        <w:spacing w:line="480" w:lineRule="auto"/>
        <w:ind w:firstLine="0" w:firstLineChars="0"/>
        <w:jc w:val="right"/>
        <w:rPr>
          <w:lang w:eastAsia="zh-CN"/>
        </w:rPr>
      </w:pPr>
      <w:bookmarkStart w:id="657" w:name="_Hlk112024143"/>
      <w:r>
        <w:rPr>
          <w:rFonts w:hint="eastAsia"/>
          <w:kern w:val="0"/>
          <w:lang w:eastAsia="zh-CN"/>
        </w:rPr>
        <w:t>供应商</w:t>
      </w:r>
      <w:r>
        <w:rPr>
          <w:rFonts w:hint="eastAsia"/>
          <w:lang w:eastAsia="zh-CN"/>
        </w:rPr>
        <w:t>法定代表人或其授权委托人（签字或盖章）：</w:t>
      </w:r>
    </w:p>
    <w:p>
      <w:pPr>
        <w:pStyle w:val="358"/>
        <w:wordWrap w:val="0"/>
        <w:spacing w:line="480" w:lineRule="auto"/>
        <w:ind w:firstLine="0" w:firstLineChars="0"/>
        <w:jc w:val="right"/>
        <w:rPr>
          <w:lang w:eastAsia="zh-CN"/>
        </w:rPr>
      </w:pPr>
      <w:r>
        <w:rPr>
          <w:rFonts w:hint="eastAsia"/>
          <w:lang w:eastAsia="zh-CN"/>
        </w:rPr>
        <w:t>供应商名称（盖章）：</w:t>
      </w:r>
    </w:p>
    <w:p>
      <w:pPr>
        <w:jc w:val="right"/>
        <w:rPr>
          <w:rFonts w:ascii="宋体" w:hAnsi="宋体"/>
          <w:sz w:val="24"/>
        </w:rPr>
      </w:pPr>
      <w:r>
        <w:rPr>
          <w:rFonts w:hint="eastAsia" w:ascii="宋体" w:hAnsi="宋体"/>
          <w:sz w:val="24"/>
        </w:rPr>
        <w:t>日期：</w:t>
      </w:r>
      <w:r>
        <w:rPr>
          <w:rFonts w:ascii="宋体" w:hAnsi="宋体"/>
          <w:sz w:val="24"/>
        </w:rPr>
        <w:t>年月</w:t>
      </w:r>
      <w:r>
        <w:rPr>
          <w:rFonts w:ascii="宋体" w:hAnsi="宋体"/>
        </w:rPr>
        <w:t>日</w:t>
      </w:r>
      <w:bookmarkEnd w:id="657"/>
      <w:r>
        <w:rPr>
          <w:rFonts w:ascii="宋体" w:hAnsi="宋体"/>
        </w:rPr>
        <w:br w:type="page"/>
      </w:r>
    </w:p>
    <w:p>
      <w:pPr>
        <w:pStyle w:val="5"/>
        <w:keepNext w:val="0"/>
        <w:keepLines w:val="0"/>
        <w:numPr>
          <w:ilvl w:val="0"/>
          <w:numId w:val="19"/>
        </w:numPr>
        <w:spacing w:before="120" w:after="120" w:line="240" w:lineRule="auto"/>
        <w:rPr>
          <w:rFonts w:ascii="宋体" w:hAnsi="宋体"/>
          <w:szCs w:val="24"/>
        </w:rPr>
      </w:pPr>
      <w:r>
        <w:rPr>
          <w:rFonts w:hint="eastAsia" w:ascii="宋体" w:hAnsi="宋体"/>
          <w:szCs w:val="24"/>
        </w:rPr>
        <w:t>各类证明材料</w:t>
      </w:r>
    </w:p>
    <w:p>
      <w:pPr>
        <w:rPr>
          <w:rFonts w:ascii="宋体" w:hAnsi="宋体" w:cs="宋体"/>
          <w:i/>
          <w:iCs/>
          <w:szCs w:val="21"/>
        </w:rPr>
      </w:pPr>
      <w:r>
        <w:rPr>
          <w:rFonts w:hint="eastAsia" w:ascii="宋体" w:hAnsi="宋体" w:cs="宋体"/>
          <w:i/>
          <w:iCs/>
          <w:szCs w:val="21"/>
        </w:rPr>
        <w:t>（按照磋商文件评审标准提供相关材料。）</w:t>
      </w:r>
    </w:p>
    <w:p>
      <w:pPr>
        <w:pStyle w:val="21"/>
        <w:rPr>
          <w:rFonts w:ascii="宋体" w:hAnsi="宋体"/>
        </w:rPr>
      </w:pPr>
    </w:p>
    <w:p>
      <w:pPr>
        <w:pStyle w:val="21"/>
        <w:rPr>
          <w:rFonts w:ascii="宋体" w:hAnsi="宋体"/>
        </w:rPr>
      </w:pPr>
    </w:p>
    <w:p>
      <w:pPr>
        <w:pStyle w:val="5"/>
        <w:keepNext w:val="0"/>
        <w:keepLines w:val="0"/>
        <w:numPr>
          <w:ilvl w:val="0"/>
          <w:numId w:val="19"/>
        </w:numPr>
        <w:spacing w:before="120" w:after="120" w:line="240" w:lineRule="auto"/>
        <w:rPr>
          <w:rFonts w:ascii="宋体" w:hAnsi="宋体"/>
          <w:szCs w:val="24"/>
        </w:rPr>
      </w:pPr>
      <w:r>
        <w:rPr>
          <w:rFonts w:hint="eastAsia" w:ascii="宋体" w:hAnsi="宋体"/>
          <w:szCs w:val="24"/>
        </w:rPr>
        <w:t>拟任执行管理及技术人员情况</w:t>
      </w:r>
    </w:p>
    <w:tbl>
      <w:tblPr>
        <w:tblStyle w:val="4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427"/>
        <w:gridCol w:w="1423"/>
        <w:gridCol w:w="1739"/>
        <w:gridCol w:w="2214"/>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bottom w:val="single" w:color="auto" w:sz="4" w:space="0"/>
            </w:tcBorders>
            <w:shd w:val="clear" w:color="auto" w:fill="auto"/>
            <w:vAlign w:val="center"/>
          </w:tcPr>
          <w:p>
            <w:pPr>
              <w:spacing w:line="240" w:lineRule="auto"/>
              <w:jc w:val="center"/>
              <w:rPr>
                <w:rFonts w:ascii="宋体" w:hAnsi="宋体" w:cs="等线"/>
                <w:b/>
                <w:bCs/>
                <w:szCs w:val="21"/>
              </w:rPr>
            </w:pPr>
            <w:r>
              <w:rPr>
                <w:rFonts w:hint="eastAsia" w:ascii="宋体" w:hAnsi="宋体" w:cs="等线"/>
                <w:b/>
                <w:bCs/>
                <w:szCs w:val="21"/>
              </w:rPr>
              <w:t>序号</w:t>
            </w:r>
          </w:p>
        </w:tc>
        <w:tc>
          <w:tcPr>
            <w:tcW w:w="772" w:type="pct"/>
            <w:tcBorders>
              <w:bottom w:val="single" w:color="auto" w:sz="4" w:space="0"/>
            </w:tcBorders>
            <w:shd w:val="clear" w:color="auto" w:fill="auto"/>
            <w:vAlign w:val="center"/>
          </w:tcPr>
          <w:p>
            <w:pPr>
              <w:spacing w:line="240" w:lineRule="auto"/>
              <w:jc w:val="center"/>
              <w:rPr>
                <w:rFonts w:ascii="宋体" w:hAnsi="宋体" w:cs="等线"/>
                <w:b/>
                <w:bCs/>
                <w:szCs w:val="21"/>
              </w:rPr>
            </w:pPr>
            <w:r>
              <w:rPr>
                <w:rFonts w:hint="eastAsia" w:ascii="宋体" w:hAnsi="宋体" w:cs="等线"/>
                <w:b/>
                <w:bCs/>
                <w:szCs w:val="21"/>
              </w:rPr>
              <w:t>姓名</w:t>
            </w:r>
          </w:p>
        </w:tc>
        <w:tc>
          <w:tcPr>
            <w:tcW w:w="770" w:type="pct"/>
            <w:tcBorders>
              <w:bottom w:val="single" w:color="auto" w:sz="4" w:space="0"/>
            </w:tcBorders>
            <w:shd w:val="clear" w:color="auto" w:fill="auto"/>
            <w:vAlign w:val="center"/>
          </w:tcPr>
          <w:p>
            <w:pPr>
              <w:spacing w:line="240" w:lineRule="auto"/>
              <w:jc w:val="center"/>
              <w:rPr>
                <w:rFonts w:ascii="宋体" w:hAnsi="宋体" w:cs="等线"/>
                <w:b/>
                <w:bCs/>
                <w:szCs w:val="21"/>
              </w:rPr>
            </w:pPr>
            <w:r>
              <w:rPr>
                <w:rFonts w:hint="eastAsia" w:ascii="宋体" w:hAnsi="宋体" w:cs="等线"/>
                <w:b/>
                <w:bCs/>
                <w:szCs w:val="21"/>
              </w:rPr>
              <w:t>职务</w:t>
            </w:r>
          </w:p>
        </w:tc>
        <w:tc>
          <w:tcPr>
            <w:tcW w:w="941" w:type="pct"/>
            <w:tcBorders>
              <w:bottom w:val="single" w:color="auto" w:sz="4" w:space="0"/>
            </w:tcBorders>
            <w:shd w:val="clear" w:color="auto" w:fill="auto"/>
            <w:vAlign w:val="center"/>
          </w:tcPr>
          <w:p>
            <w:pPr>
              <w:spacing w:line="240" w:lineRule="auto"/>
              <w:jc w:val="center"/>
              <w:rPr>
                <w:rFonts w:ascii="宋体" w:hAnsi="宋体" w:cs="等线"/>
                <w:b/>
                <w:bCs/>
                <w:szCs w:val="21"/>
              </w:rPr>
            </w:pPr>
            <w:r>
              <w:rPr>
                <w:rFonts w:hint="eastAsia" w:ascii="宋体" w:hAnsi="宋体" w:cs="等线"/>
                <w:b/>
                <w:bCs/>
                <w:szCs w:val="21"/>
              </w:rPr>
              <w:t>项目经验</w:t>
            </w:r>
          </w:p>
        </w:tc>
        <w:tc>
          <w:tcPr>
            <w:tcW w:w="1198" w:type="pct"/>
            <w:tcBorders>
              <w:bottom w:val="single" w:color="auto" w:sz="4" w:space="0"/>
            </w:tcBorders>
            <w:shd w:val="clear" w:color="auto" w:fill="auto"/>
            <w:vAlign w:val="center"/>
          </w:tcPr>
          <w:p>
            <w:pPr>
              <w:spacing w:line="240" w:lineRule="auto"/>
              <w:jc w:val="center"/>
              <w:rPr>
                <w:rFonts w:ascii="宋体" w:hAnsi="宋体" w:cs="等线"/>
                <w:b/>
                <w:bCs/>
                <w:szCs w:val="21"/>
              </w:rPr>
            </w:pPr>
            <w:r>
              <w:rPr>
                <w:rFonts w:hint="eastAsia" w:ascii="宋体" w:hAnsi="宋体" w:cs="等线"/>
                <w:b/>
                <w:bCs/>
                <w:szCs w:val="21"/>
              </w:rPr>
              <w:t>职称</w:t>
            </w:r>
          </w:p>
        </w:tc>
        <w:tc>
          <w:tcPr>
            <w:tcW w:w="858" w:type="pct"/>
            <w:tcBorders>
              <w:bottom w:val="single" w:color="auto" w:sz="4" w:space="0"/>
            </w:tcBorders>
            <w:shd w:val="clear" w:color="auto" w:fill="auto"/>
            <w:vAlign w:val="center"/>
          </w:tcPr>
          <w:p>
            <w:pPr>
              <w:spacing w:line="240" w:lineRule="auto"/>
              <w:jc w:val="center"/>
              <w:rPr>
                <w:rFonts w:ascii="宋体" w:hAnsi="宋体" w:cs="等线"/>
                <w:b/>
                <w:bCs/>
                <w:szCs w:val="21"/>
              </w:rPr>
            </w:pPr>
            <w:r>
              <w:rPr>
                <w:rFonts w:hint="eastAsia" w:ascii="宋体" w:hAnsi="宋体" w:cs="等线"/>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auto"/>
            <w:vAlign w:val="center"/>
          </w:tcPr>
          <w:p>
            <w:pPr>
              <w:spacing w:line="240" w:lineRule="auto"/>
              <w:jc w:val="center"/>
              <w:rPr>
                <w:rFonts w:ascii="宋体" w:hAnsi="宋体" w:cs="等线"/>
                <w:szCs w:val="21"/>
              </w:rPr>
            </w:pPr>
            <w:r>
              <w:rPr>
                <w:rFonts w:hint="eastAsia" w:ascii="宋体" w:hAnsi="宋体" w:cs="等线"/>
                <w:szCs w:val="21"/>
              </w:rPr>
              <w:t>1</w:t>
            </w:r>
          </w:p>
        </w:tc>
        <w:tc>
          <w:tcPr>
            <w:tcW w:w="772" w:type="pct"/>
            <w:shd w:val="clear" w:color="auto" w:fill="auto"/>
            <w:vAlign w:val="center"/>
          </w:tcPr>
          <w:p>
            <w:pPr>
              <w:spacing w:line="240" w:lineRule="auto"/>
              <w:jc w:val="center"/>
              <w:rPr>
                <w:rFonts w:ascii="宋体" w:hAnsi="宋体" w:cs="等线"/>
                <w:szCs w:val="21"/>
              </w:rPr>
            </w:pPr>
          </w:p>
        </w:tc>
        <w:tc>
          <w:tcPr>
            <w:tcW w:w="770" w:type="pct"/>
            <w:shd w:val="clear" w:color="auto" w:fill="auto"/>
            <w:vAlign w:val="center"/>
          </w:tcPr>
          <w:p>
            <w:pPr>
              <w:spacing w:line="240" w:lineRule="auto"/>
              <w:jc w:val="center"/>
              <w:rPr>
                <w:rFonts w:ascii="宋体" w:hAnsi="宋体" w:cs="等线"/>
                <w:szCs w:val="21"/>
              </w:rPr>
            </w:pPr>
          </w:p>
        </w:tc>
        <w:tc>
          <w:tcPr>
            <w:tcW w:w="941" w:type="pct"/>
            <w:shd w:val="clear" w:color="auto" w:fill="auto"/>
            <w:vAlign w:val="center"/>
          </w:tcPr>
          <w:p>
            <w:pPr>
              <w:spacing w:line="240" w:lineRule="auto"/>
              <w:jc w:val="center"/>
              <w:rPr>
                <w:rFonts w:ascii="宋体" w:hAnsi="宋体" w:cs="等线"/>
                <w:szCs w:val="21"/>
              </w:rPr>
            </w:pPr>
          </w:p>
        </w:tc>
        <w:tc>
          <w:tcPr>
            <w:tcW w:w="1198" w:type="pct"/>
            <w:shd w:val="clear" w:color="auto" w:fill="auto"/>
            <w:vAlign w:val="center"/>
          </w:tcPr>
          <w:p>
            <w:pPr>
              <w:spacing w:line="240" w:lineRule="auto"/>
              <w:jc w:val="center"/>
              <w:rPr>
                <w:rFonts w:ascii="宋体" w:hAnsi="宋体" w:cs="等线"/>
                <w:szCs w:val="21"/>
              </w:rPr>
            </w:pPr>
          </w:p>
        </w:tc>
        <w:tc>
          <w:tcPr>
            <w:tcW w:w="858" w:type="pct"/>
            <w:shd w:val="clear" w:color="auto" w:fill="auto"/>
            <w:vAlign w:val="center"/>
          </w:tcPr>
          <w:p>
            <w:pPr>
              <w:spacing w:line="240" w:lineRule="auto"/>
              <w:jc w:val="center"/>
              <w:rPr>
                <w:rFonts w:ascii="宋体" w:hAnsi="宋体" w:cs="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auto"/>
            <w:vAlign w:val="center"/>
          </w:tcPr>
          <w:p>
            <w:pPr>
              <w:spacing w:line="240" w:lineRule="auto"/>
              <w:jc w:val="center"/>
              <w:rPr>
                <w:rFonts w:ascii="宋体" w:hAnsi="宋体" w:cs="等线"/>
                <w:szCs w:val="21"/>
              </w:rPr>
            </w:pPr>
            <w:r>
              <w:rPr>
                <w:rFonts w:hint="eastAsia" w:ascii="宋体" w:hAnsi="宋体" w:cs="等线"/>
                <w:szCs w:val="21"/>
              </w:rPr>
              <w:t>2</w:t>
            </w:r>
          </w:p>
        </w:tc>
        <w:tc>
          <w:tcPr>
            <w:tcW w:w="772" w:type="pct"/>
            <w:shd w:val="clear" w:color="auto" w:fill="auto"/>
            <w:vAlign w:val="center"/>
          </w:tcPr>
          <w:p>
            <w:pPr>
              <w:spacing w:line="240" w:lineRule="auto"/>
              <w:jc w:val="center"/>
              <w:rPr>
                <w:rFonts w:ascii="宋体" w:hAnsi="宋体" w:cs="等线"/>
                <w:szCs w:val="21"/>
              </w:rPr>
            </w:pPr>
          </w:p>
        </w:tc>
        <w:tc>
          <w:tcPr>
            <w:tcW w:w="770" w:type="pct"/>
            <w:shd w:val="clear" w:color="auto" w:fill="auto"/>
            <w:vAlign w:val="center"/>
          </w:tcPr>
          <w:p>
            <w:pPr>
              <w:spacing w:line="240" w:lineRule="auto"/>
              <w:jc w:val="center"/>
              <w:rPr>
                <w:rFonts w:ascii="宋体" w:hAnsi="宋体" w:cs="等线"/>
                <w:szCs w:val="21"/>
              </w:rPr>
            </w:pPr>
          </w:p>
        </w:tc>
        <w:tc>
          <w:tcPr>
            <w:tcW w:w="941" w:type="pct"/>
            <w:shd w:val="clear" w:color="auto" w:fill="auto"/>
            <w:vAlign w:val="center"/>
          </w:tcPr>
          <w:p>
            <w:pPr>
              <w:spacing w:line="240" w:lineRule="auto"/>
              <w:jc w:val="center"/>
              <w:rPr>
                <w:rFonts w:ascii="宋体" w:hAnsi="宋体" w:cs="等线"/>
                <w:szCs w:val="21"/>
              </w:rPr>
            </w:pPr>
          </w:p>
        </w:tc>
        <w:tc>
          <w:tcPr>
            <w:tcW w:w="1198" w:type="pct"/>
            <w:shd w:val="clear" w:color="auto" w:fill="auto"/>
            <w:vAlign w:val="center"/>
          </w:tcPr>
          <w:p>
            <w:pPr>
              <w:spacing w:line="240" w:lineRule="auto"/>
              <w:jc w:val="center"/>
              <w:rPr>
                <w:rFonts w:ascii="宋体" w:hAnsi="宋体" w:cs="等线"/>
                <w:szCs w:val="21"/>
              </w:rPr>
            </w:pPr>
          </w:p>
        </w:tc>
        <w:tc>
          <w:tcPr>
            <w:tcW w:w="858" w:type="pct"/>
            <w:shd w:val="clear" w:color="auto" w:fill="auto"/>
            <w:vAlign w:val="center"/>
          </w:tcPr>
          <w:p>
            <w:pPr>
              <w:spacing w:line="240" w:lineRule="auto"/>
              <w:jc w:val="center"/>
              <w:rPr>
                <w:rFonts w:ascii="宋体" w:hAnsi="宋体" w:cs="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auto"/>
            <w:vAlign w:val="center"/>
          </w:tcPr>
          <w:p>
            <w:pPr>
              <w:spacing w:line="240" w:lineRule="auto"/>
              <w:jc w:val="center"/>
              <w:rPr>
                <w:rFonts w:ascii="宋体" w:hAnsi="宋体" w:cs="等线"/>
                <w:szCs w:val="21"/>
              </w:rPr>
            </w:pPr>
            <w:r>
              <w:rPr>
                <w:rFonts w:hint="eastAsia" w:ascii="宋体" w:hAnsi="宋体" w:cs="等线"/>
                <w:szCs w:val="21"/>
              </w:rPr>
              <w:t>3</w:t>
            </w:r>
          </w:p>
        </w:tc>
        <w:tc>
          <w:tcPr>
            <w:tcW w:w="772" w:type="pct"/>
            <w:shd w:val="clear" w:color="auto" w:fill="auto"/>
            <w:vAlign w:val="center"/>
          </w:tcPr>
          <w:p>
            <w:pPr>
              <w:spacing w:line="240" w:lineRule="auto"/>
              <w:jc w:val="center"/>
              <w:rPr>
                <w:rFonts w:ascii="宋体" w:hAnsi="宋体" w:cs="等线"/>
                <w:szCs w:val="21"/>
              </w:rPr>
            </w:pPr>
          </w:p>
        </w:tc>
        <w:tc>
          <w:tcPr>
            <w:tcW w:w="770" w:type="pct"/>
            <w:shd w:val="clear" w:color="auto" w:fill="auto"/>
            <w:vAlign w:val="center"/>
          </w:tcPr>
          <w:p>
            <w:pPr>
              <w:spacing w:line="240" w:lineRule="auto"/>
              <w:jc w:val="center"/>
              <w:rPr>
                <w:rFonts w:ascii="宋体" w:hAnsi="宋体" w:cs="等线"/>
                <w:szCs w:val="21"/>
              </w:rPr>
            </w:pPr>
          </w:p>
        </w:tc>
        <w:tc>
          <w:tcPr>
            <w:tcW w:w="941" w:type="pct"/>
            <w:shd w:val="clear" w:color="auto" w:fill="auto"/>
            <w:vAlign w:val="center"/>
          </w:tcPr>
          <w:p>
            <w:pPr>
              <w:spacing w:line="240" w:lineRule="auto"/>
              <w:jc w:val="center"/>
              <w:rPr>
                <w:rFonts w:ascii="宋体" w:hAnsi="宋体" w:cs="等线"/>
                <w:szCs w:val="21"/>
              </w:rPr>
            </w:pPr>
          </w:p>
        </w:tc>
        <w:tc>
          <w:tcPr>
            <w:tcW w:w="1198" w:type="pct"/>
            <w:shd w:val="clear" w:color="auto" w:fill="auto"/>
            <w:vAlign w:val="center"/>
          </w:tcPr>
          <w:p>
            <w:pPr>
              <w:spacing w:line="240" w:lineRule="auto"/>
              <w:jc w:val="center"/>
              <w:rPr>
                <w:rFonts w:ascii="宋体" w:hAnsi="宋体" w:cs="等线"/>
                <w:szCs w:val="21"/>
              </w:rPr>
            </w:pPr>
          </w:p>
        </w:tc>
        <w:tc>
          <w:tcPr>
            <w:tcW w:w="858" w:type="pct"/>
            <w:shd w:val="clear" w:color="auto" w:fill="auto"/>
            <w:vAlign w:val="center"/>
          </w:tcPr>
          <w:p>
            <w:pPr>
              <w:spacing w:line="240" w:lineRule="auto"/>
              <w:jc w:val="center"/>
              <w:rPr>
                <w:rFonts w:ascii="宋体" w:hAnsi="宋体" w:cs="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auto"/>
            <w:vAlign w:val="center"/>
          </w:tcPr>
          <w:p>
            <w:pPr>
              <w:spacing w:line="240" w:lineRule="auto"/>
              <w:jc w:val="center"/>
              <w:rPr>
                <w:rFonts w:ascii="宋体" w:hAnsi="宋体" w:cs="等线"/>
                <w:szCs w:val="21"/>
              </w:rPr>
            </w:pPr>
            <w:r>
              <w:rPr>
                <w:rFonts w:hint="eastAsia" w:ascii="宋体" w:hAnsi="宋体" w:cs="等线"/>
                <w:szCs w:val="21"/>
              </w:rPr>
              <w:t>…</w:t>
            </w:r>
          </w:p>
        </w:tc>
        <w:tc>
          <w:tcPr>
            <w:tcW w:w="772" w:type="pct"/>
            <w:shd w:val="clear" w:color="auto" w:fill="auto"/>
            <w:vAlign w:val="center"/>
          </w:tcPr>
          <w:p>
            <w:pPr>
              <w:spacing w:line="240" w:lineRule="auto"/>
              <w:jc w:val="center"/>
              <w:rPr>
                <w:rFonts w:ascii="宋体" w:hAnsi="宋体" w:cs="等线"/>
                <w:szCs w:val="21"/>
              </w:rPr>
            </w:pPr>
          </w:p>
        </w:tc>
        <w:tc>
          <w:tcPr>
            <w:tcW w:w="770" w:type="pct"/>
            <w:shd w:val="clear" w:color="auto" w:fill="auto"/>
            <w:vAlign w:val="center"/>
          </w:tcPr>
          <w:p>
            <w:pPr>
              <w:spacing w:line="240" w:lineRule="auto"/>
              <w:jc w:val="center"/>
              <w:rPr>
                <w:rFonts w:ascii="宋体" w:hAnsi="宋体" w:cs="等线"/>
                <w:szCs w:val="21"/>
              </w:rPr>
            </w:pPr>
          </w:p>
        </w:tc>
        <w:tc>
          <w:tcPr>
            <w:tcW w:w="941" w:type="pct"/>
            <w:shd w:val="clear" w:color="auto" w:fill="auto"/>
            <w:vAlign w:val="center"/>
          </w:tcPr>
          <w:p>
            <w:pPr>
              <w:spacing w:line="240" w:lineRule="auto"/>
              <w:jc w:val="center"/>
              <w:rPr>
                <w:rFonts w:ascii="宋体" w:hAnsi="宋体" w:cs="等线"/>
                <w:szCs w:val="21"/>
              </w:rPr>
            </w:pPr>
          </w:p>
        </w:tc>
        <w:tc>
          <w:tcPr>
            <w:tcW w:w="1198" w:type="pct"/>
            <w:shd w:val="clear" w:color="auto" w:fill="auto"/>
            <w:vAlign w:val="center"/>
          </w:tcPr>
          <w:p>
            <w:pPr>
              <w:spacing w:line="240" w:lineRule="auto"/>
              <w:jc w:val="center"/>
              <w:rPr>
                <w:rFonts w:ascii="宋体" w:hAnsi="宋体" w:cs="等线"/>
                <w:szCs w:val="21"/>
              </w:rPr>
            </w:pPr>
          </w:p>
        </w:tc>
        <w:tc>
          <w:tcPr>
            <w:tcW w:w="858" w:type="pct"/>
            <w:shd w:val="clear" w:color="auto" w:fill="auto"/>
            <w:vAlign w:val="center"/>
          </w:tcPr>
          <w:p>
            <w:pPr>
              <w:spacing w:line="240" w:lineRule="auto"/>
              <w:jc w:val="center"/>
              <w:rPr>
                <w:rFonts w:ascii="宋体" w:hAnsi="宋体" w:cs="等线"/>
                <w:szCs w:val="21"/>
              </w:rPr>
            </w:pPr>
          </w:p>
        </w:tc>
      </w:tr>
    </w:tbl>
    <w:p>
      <w:pPr>
        <w:rPr>
          <w:rFonts w:ascii="宋体" w:hAnsi="宋体"/>
        </w:rPr>
      </w:pPr>
      <w:r>
        <w:rPr>
          <w:rFonts w:hint="eastAsia" w:ascii="宋体" w:hAnsi="宋体"/>
        </w:rPr>
        <w:t>说明：根据评审标准要求提供相关证明材料。</w:t>
      </w:r>
    </w:p>
    <w:p>
      <w:pPr>
        <w:rPr>
          <w:rFonts w:ascii="宋体" w:hAnsi="宋体"/>
        </w:rPr>
      </w:pPr>
    </w:p>
    <w:bookmarkEnd w:id="639"/>
    <w:p>
      <w:pPr>
        <w:pStyle w:val="5"/>
        <w:keepNext w:val="0"/>
        <w:keepLines w:val="0"/>
        <w:numPr>
          <w:ilvl w:val="0"/>
          <w:numId w:val="19"/>
        </w:numPr>
        <w:spacing w:before="120" w:after="120" w:line="240" w:lineRule="auto"/>
        <w:rPr>
          <w:rFonts w:ascii="宋体" w:hAnsi="宋体"/>
          <w:szCs w:val="24"/>
        </w:rPr>
      </w:pPr>
      <w:bookmarkStart w:id="658" w:name="_Toc104040720"/>
      <w:bookmarkStart w:id="659" w:name="_Toc103033251"/>
      <w:bookmarkStart w:id="660" w:name="_Toc202252036"/>
      <w:bookmarkStart w:id="661" w:name="_Toc202820353"/>
      <w:bookmarkStart w:id="662" w:name="_Toc259090991"/>
      <w:bookmarkStart w:id="663" w:name="_Toc202819880"/>
      <w:bookmarkStart w:id="664" w:name="_Toc425161124"/>
      <w:bookmarkStart w:id="665" w:name="_Toc202254107"/>
      <w:bookmarkStart w:id="666" w:name="_Toc202816998"/>
      <w:bookmarkStart w:id="667" w:name="_Toc202251077"/>
      <w:bookmarkStart w:id="668" w:name="_Toc462677246"/>
      <w:bookmarkStart w:id="669" w:name="_Toc202251702"/>
      <w:r>
        <w:rPr>
          <w:rFonts w:hint="eastAsia" w:ascii="宋体" w:hAnsi="宋体"/>
          <w:szCs w:val="24"/>
        </w:rPr>
        <w:t>类似</w:t>
      </w:r>
      <w:r>
        <w:rPr>
          <w:rFonts w:ascii="宋体" w:hAnsi="宋体"/>
          <w:szCs w:val="24"/>
        </w:rPr>
        <w:t>项目</w:t>
      </w:r>
      <w:r>
        <w:rPr>
          <w:rFonts w:hint="eastAsia" w:ascii="宋体" w:hAnsi="宋体"/>
          <w:szCs w:val="24"/>
        </w:rPr>
        <w:t>业绩</w:t>
      </w:r>
      <w:bookmarkEnd w:id="658"/>
      <w:bookmarkEnd w:id="659"/>
    </w:p>
    <w:tbl>
      <w:tblPr>
        <w:tblStyle w:val="4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427"/>
        <w:gridCol w:w="1423"/>
        <w:gridCol w:w="1739"/>
        <w:gridCol w:w="2214"/>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bottom w:val="single" w:color="auto" w:sz="4" w:space="0"/>
            </w:tcBorders>
            <w:shd w:val="clear" w:color="auto" w:fill="auto"/>
            <w:vAlign w:val="center"/>
          </w:tcPr>
          <w:p>
            <w:pPr>
              <w:spacing w:line="240" w:lineRule="auto"/>
              <w:jc w:val="center"/>
              <w:rPr>
                <w:rFonts w:ascii="宋体" w:hAnsi="宋体" w:cs="等线"/>
                <w:b/>
                <w:bCs/>
                <w:szCs w:val="21"/>
              </w:rPr>
            </w:pPr>
            <w:r>
              <w:rPr>
                <w:rFonts w:hint="eastAsia" w:ascii="宋体" w:hAnsi="宋体" w:cs="等线"/>
                <w:b/>
                <w:bCs/>
                <w:szCs w:val="21"/>
              </w:rPr>
              <w:t>序号</w:t>
            </w:r>
          </w:p>
        </w:tc>
        <w:tc>
          <w:tcPr>
            <w:tcW w:w="772" w:type="pct"/>
            <w:tcBorders>
              <w:bottom w:val="single" w:color="auto" w:sz="4" w:space="0"/>
            </w:tcBorders>
            <w:shd w:val="clear" w:color="auto" w:fill="auto"/>
            <w:vAlign w:val="center"/>
          </w:tcPr>
          <w:p>
            <w:pPr>
              <w:spacing w:line="240" w:lineRule="auto"/>
              <w:jc w:val="center"/>
              <w:rPr>
                <w:rFonts w:ascii="宋体" w:hAnsi="宋体" w:cs="等线"/>
                <w:b/>
                <w:bCs/>
                <w:szCs w:val="21"/>
              </w:rPr>
            </w:pPr>
            <w:r>
              <w:rPr>
                <w:rFonts w:hint="eastAsia" w:ascii="宋体" w:hAnsi="宋体" w:cs="等线"/>
                <w:b/>
                <w:bCs/>
                <w:szCs w:val="21"/>
              </w:rPr>
              <w:t>客户名称</w:t>
            </w:r>
          </w:p>
        </w:tc>
        <w:tc>
          <w:tcPr>
            <w:tcW w:w="770" w:type="pct"/>
            <w:tcBorders>
              <w:bottom w:val="single" w:color="auto" w:sz="4" w:space="0"/>
            </w:tcBorders>
            <w:shd w:val="clear" w:color="auto" w:fill="auto"/>
            <w:vAlign w:val="center"/>
          </w:tcPr>
          <w:p>
            <w:pPr>
              <w:spacing w:line="240" w:lineRule="auto"/>
              <w:jc w:val="center"/>
              <w:rPr>
                <w:rFonts w:ascii="宋体" w:hAnsi="宋体" w:cs="等线"/>
                <w:b/>
                <w:bCs/>
                <w:szCs w:val="21"/>
              </w:rPr>
            </w:pPr>
            <w:r>
              <w:rPr>
                <w:rFonts w:hint="eastAsia" w:ascii="宋体" w:hAnsi="宋体" w:cs="等线"/>
                <w:b/>
                <w:bCs/>
                <w:szCs w:val="21"/>
              </w:rPr>
              <w:t>合同名称</w:t>
            </w:r>
          </w:p>
        </w:tc>
        <w:tc>
          <w:tcPr>
            <w:tcW w:w="941" w:type="pct"/>
            <w:tcBorders>
              <w:bottom w:val="single" w:color="auto" w:sz="4" w:space="0"/>
            </w:tcBorders>
            <w:shd w:val="clear" w:color="auto" w:fill="auto"/>
            <w:vAlign w:val="center"/>
          </w:tcPr>
          <w:p>
            <w:pPr>
              <w:spacing w:line="240" w:lineRule="auto"/>
              <w:jc w:val="center"/>
              <w:rPr>
                <w:rFonts w:ascii="宋体" w:hAnsi="宋体" w:cs="等线"/>
                <w:b/>
                <w:bCs/>
                <w:szCs w:val="21"/>
              </w:rPr>
            </w:pPr>
            <w:r>
              <w:rPr>
                <w:rFonts w:hint="eastAsia" w:ascii="宋体" w:hAnsi="宋体" w:cs="等线"/>
                <w:b/>
                <w:bCs/>
                <w:szCs w:val="21"/>
              </w:rPr>
              <w:t>合同内容</w:t>
            </w:r>
          </w:p>
        </w:tc>
        <w:tc>
          <w:tcPr>
            <w:tcW w:w="1198" w:type="pct"/>
            <w:tcBorders>
              <w:bottom w:val="single" w:color="auto" w:sz="4" w:space="0"/>
            </w:tcBorders>
            <w:shd w:val="clear" w:color="auto" w:fill="auto"/>
            <w:vAlign w:val="center"/>
          </w:tcPr>
          <w:p>
            <w:pPr>
              <w:spacing w:line="240" w:lineRule="auto"/>
              <w:jc w:val="center"/>
              <w:rPr>
                <w:rFonts w:ascii="宋体" w:hAnsi="宋体" w:cs="等线"/>
                <w:b/>
                <w:bCs/>
                <w:szCs w:val="21"/>
              </w:rPr>
            </w:pPr>
            <w:r>
              <w:rPr>
                <w:rFonts w:hint="eastAsia" w:ascii="宋体" w:hAnsi="宋体" w:cs="等线"/>
                <w:b/>
                <w:bCs/>
                <w:szCs w:val="21"/>
              </w:rPr>
              <w:t>合同签订时间</w:t>
            </w:r>
          </w:p>
        </w:tc>
        <w:tc>
          <w:tcPr>
            <w:tcW w:w="858" w:type="pct"/>
            <w:tcBorders>
              <w:bottom w:val="single" w:color="auto" w:sz="4" w:space="0"/>
            </w:tcBorders>
            <w:shd w:val="clear" w:color="auto" w:fill="auto"/>
            <w:vAlign w:val="center"/>
          </w:tcPr>
          <w:p>
            <w:pPr>
              <w:spacing w:line="240" w:lineRule="auto"/>
              <w:jc w:val="center"/>
              <w:rPr>
                <w:rFonts w:ascii="宋体" w:hAnsi="宋体" w:cs="等线"/>
                <w:b/>
                <w:bCs/>
                <w:szCs w:val="21"/>
              </w:rPr>
            </w:pPr>
            <w:r>
              <w:rPr>
                <w:rFonts w:hint="eastAsia" w:ascii="宋体" w:hAnsi="宋体" w:cs="等线"/>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auto"/>
            <w:vAlign w:val="center"/>
          </w:tcPr>
          <w:p>
            <w:pPr>
              <w:spacing w:line="240" w:lineRule="auto"/>
              <w:jc w:val="center"/>
              <w:rPr>
                <w:rFonts w:ascii="宋体" w:hAnsi="宋体" w:cs="等线"/>
                <w:szCs w:val="21"/>
              </w:rPr>
            </w:pPr>
            <w:r>
              <w:rPr>
                <w:rFonts w:hint="eastAsia" w:ascii="宋体" w:hAnsi="宋体" w:cs="等线"/>
                <w:szCs w:val="21"/>
              </w:rPr>
              <w:t>1</w:t>
            </w:r>
          </w:p>
        </w:tc>
        <w:tc>
          <w:tcPr>
            <w:tcW w:w="772" w:type="pct"/>
            <w:shd w:val="clear" w:color="auto" w:fill="auto"/>
            <w:vAlign w:val="center"/>
          </w:tcPr>
          <w:p>
            <w:pPr>
              <w:spacing w:line="240" w:lineRule="auto"/>
              <w:jc w:val="center"/>
              <w:rPr>
                <w:rFonts w:ascii="宋体" w:hAnsi="宋体" w:cs="等线"/>
                <w:szCs w:val="21"/>
              </w:rPr>
            </w:pPr>
          </w:p>
        </w:tc>
        <w:tc>
          <w:tcPr>
            <w:tcW w:w="770" w:type="pct"/>
            <w:shd w:val="clear" w:color="auto" w:fill="auto"/>
            <w:vAlign w:val="center"/>
          </w:tcPr>
          <w:p>
            <w:pPr>
              <w:spacing w:line="240" w:lineRule="auto"/>
              <w:jc w:val="center"/>
              <w:rPr>
                <w:rFonts w:ascii="宋体" w:hAnsi="宋体" w:cs="等线"/>
                <w:szCs w:val="21"/>
              </w:rPr>
            </w:pPr>
          </w:p>
        </w:tc>
        <w:tc>
          <w:tcPr>
            <w:tcW w:w="941" w:type="pct"/>
            <w:shd w:val="clear" w:color="auto" w:fill="auto"/>
            <w:vAlign w:val="center"/>
          </w:tcPr>
          <w:p>
            <w:pPr>
              <w:spacing w:line="240" w:lineRule="auto"/>
              <w:jc w:val="center"/>
              <w:rPr>
                <w:rFonts w:ascii="宋体" w:hAnsi="宋体" w:cs="等线"/>
                <w:szCs w:val="21"/>
              </w:rPr>
            </w:pPr>
          </w:p>
        </w:tc>
        <w:tc>
          <w:tcPr>
            <w:tcW w:w="1198" w:type="pct"/>
            <w:shd w:val="clear" w:color="auto" w:fill="auto"/>
            <w:vAlign w:val="center"/>
          </w:tcPr>
          <w:p>
            <w:pPr>
              <w:spacing w:line="240" w:lineRule="auto"/>
              <w:jc w:val="center"/>
              <w:rPr>
                <w:rFonts w:ascii="宋体" w:hAnsi="宋体" w:cs="等线"/>
                <w:szCs w:val="21"/>
              </w:rPr>
            </w:pPr>
          </w:p>
        </w:tc>
        <w:tc>
          <w:tcPr>
            <w:tcW w:w="858" w:type="pct"/>
            <w:shd w:val="clear" w:color="auto" w:fill="auto"/>
            <w:vAlign w:val="center"/>
          </w:tcPr>
          <w:p>
            <w:pPr>
              <w:spacing w:line="240" w:lineRule="auto"/>
              <w:jc w:val="center"/>
              <w:rPr>
                <w:rFonts w:ascii="宋体" w:hAnsi="宋体" w:cs="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auto"/>
            <w:vAlign w:val="center"/>
          </w:tcPr>
          <w:p>
            <w:pPr>
              <w:spacing w:line="240" w:lineRule="auto"/>
              <w:jc w:val="center"/>
              <w:rPr>
                <w:rFonts w:ascii="宋体" w:hAnsi="宋体" w:cs="等线"/>
                <w:szCs w:val="21"/>
              </w:rPr>
            </w:pPr>
            <w:r>
              <w:rPr>
                <w:rFonts w:hint="eastAsia" w:ascii="宋体" w:hAnsi="宋体" w:cs="等线"/>
                <w:szCs w:val="21"/>
              </w:rPr>
              <w:t>2</w:t>
            </w:r>
          </w:p>
        </w:tc>
        <w:tc>
          <w:tcPr>
            <w:tcW w:w="772" w:type="pct"/>
            <w:shd w:val="clear" w:color="auto" w:fill="auto"/>
            <w:vAlign w:val="center"/>
          </w:tcPr>
          <w:p>
            <w:pPr>
              <w:spacing w:line="240" w:lineRule="auto"/>
              <w:jc w:val="center"/>
              <w:rPr>
                <w:rFonts w:ascii="宋体" w:hAnsi="宋体" w:cs="等线"/>
                <w:szCs w:val="21"/>
              </w:rPr>
            </w:pPr>
          </w:p>
        </w:tc>
        <w:tc>
          <w:tcPr>
            <w:tcW w:w="770" w:type="pct"/>
            <w:shd w:val="clear" w:color="auto" w:fill="auto"/>
            <w:vAlign w:val="center"/>
          </w:tcPr>
          <w:p>
            <w:pPr>
              <w:spacing w:line="240" w:lineRule="auto"/>
              <w:jc w:val="center"/>
              <w:rPr>
                <w:rFonts w:ascii="宋体" w:hAnsi="宋体" w:cs="等线"/>
                <w:szCs w:val="21"/>
              </w:rPr>
            </w:pPr>
          </w:p>
        </w:tc>
        <w:tc>
          <w:tcPr>
            <w:tcW w:w="941" w:type="pct"/>
            <w:shd w:val="clear" w:color="auto" w:fill="auto"/>
            <w:vAlign w:val="center"/>
          </w:tcPr>
          <w:p>
            <w:pPr>
              <w:spacing w:line="240" w:lineRule="auto"/>
              <w:jc w:val="center"/>
              <w:rPr>
                <w:rFonts w:ascii="宋体" w:hAnsi="宋体" w:cs="等线"/>
                <w:szCs w:val="21"/>
              </w:rPr>
            </w:pPr>
          </w:p>
        </w:tc>
        <w:tc>
          <w:tcPr>
            <w:tcW w:w="1198" w:type="pct"/>
            <w:shd w:val="clear" w:color="auto" w:fill="auto"/>
            <w:vAlign w:val="center"/>
          </w:tcPr>
          <w:p>
            <w:pPr>
              <w:spacing w:line="240" w:lineRule="auto"/>
              <w:jc w:val="center"/>
              <w:rPr>
                <w:rFonts w:ascii="宋体" w:hAnsi="宋体" w:cs="等线"/>
                <w:szCs w:val="21"/>
              </w:rPr>
            </w:pPr>
          </w:p>
        </w:tc>
        <w:tc>
          <w:tcPr>
            <w:tcW w:w="858" w:type="pct"/>
            <w:shd w:val="clear" w:color="auto" w:fill="auto"/>
            <w:vAlign w:val="center"/>
          </w:tcPr>
          <w:p>
            <w:pPr>
              <w:spacing w:line="240" w:lineRule="auto"/>
              <w:jc w:val="center"/>
              <w:rPr>
                <w:rFonts w:ascii="宋体" w:hAnsi="宋体" w:cs="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auto"/>
            <w:vAlign w:val="center"/>
          </w:tcPr>
          <w:p>
            <w:pPr>
              <w:spacing w:line="240" w:lineRule="auto"/>
              <w:jc w:val="center"/>
              <w:rPr>
                <w:rFonts w:ascii="宋体" w:hAnsi="宋体" w:cs="等线"/>
                <w:szCs w:val="21"/>
              </w:rPr>
            </w:pPr>
            <w:r>
              <w:rPr>
                <w:rFonts w:hint="eastAsia" w:ascii="宋体" w:hAnsi="宋体" w:cs="等线"/>
                <w:szCs w:val="21"/>
              </w:rPr>
              <w:t>3</w:t>
            </w:r>
          </w:p>
        </w:tc>
        <w:tc>
          <w:tcPr>
            <w:tcW w:w="772" w:type="pct"/>
            <w:shd w:val="clear" w:color="auto" w:fill="auto"/>
            <w:vAlign w:val="center"/>
          </w:tcPr>
          <w:p>
            <w:pPr>
              <w:spacing w:line="240" w:lineRule="auto"/>
              <w:jc w:val="center"/>
              <w:rPr>
                <w:rFonts w:ascii="宋体" w:hAnsi="宋体" w:cs="等线"/>
                <w:szCs w:val="21"/>
              </w:rPr>
            </w:pPr>
          </w:p>
        </w:tc>
        <w:tc>
          <w:tcPr>
            <w:tcW w:w="770" w:type="pct"/>
            <w:shd w:val="clear" w:color="auto" w:fill="auto"/>
            <w:vAlign w:val="center"/>
          </w:tcPr>
          <w:p>
            <w:pPr>
              <w:spacing w:line="240" w:lineRule="auto"/>
              <w:jc w:val="center"/>
              <w:rPr>
                <w:rFonts w:ascii="宋体" w:hAnsi="宋体" w:cs="等线"/>
                <w:szCs w:val="21"/>
              </w:rPr>
            </w:pPr>
          </w:p>
        </w:tc>
        <w:tc>
          <w:tcPr>
            <w:tcW w:w="941" w:type="pct"/>
            <w:shd w:val="clear" w:color="auto" w:fill="auto"/>
            <w:vAlign w:val="center"/>
          </w:tcPr>
          <w:p>
            <w:pPr>
              <w:spacing w:line="240" w:lineRule="auto"/>
              <w:jc w:val="center"/>
              <w:rPr>
                <w:rFonts w:ascii="宋体" w:hAnsi="宋体" w:cs="等线"/>
                <w:szCs w:val="21"/>
              </w:rPr>
            </w:pPr>
          </w:p>
        </w:tc>
        <w:tc>
          <w:tcPr>
            <w:tcW w:w="1198" w:type="pct"/>
            <w:shd w:val="clear" w:color="auto" w:fill="auto"/>
            <w:vAlign w:val="center"/>
          </w:tcPr>
          <w:p>
            <w:pPr>
              <w:spacing w:line="240" w:lineRule="auto"/>
              <w:jc w:val="center"/>
              <w:rPr>
                <w:rFonts w:ascii="宋体" w:hAnsi="宋体" w:cs="等线"/>
                <w:szCs w:val="21"/>
              </w:rPr>
            </w:pPr>
          </w:p>
        </w:tc>
        <w:tc>
          <w:tcPr>
            <w:tcW w:w="858" w:type="pct"/>
            <w:shd w:val="clear" w:color="auto" w:fill="auto"/>
            <w:vAlign w:val="center"/>
          </w:tcPr>
          <w:p>
            <w:pPr>
              <w:spacing w:line="240" w:lineRule="auto"/>
              <w:jc w:val="center"/>
              <w:rPr>
                <w:rFonts w:ascii="宋体" w:hAnsi="宋体" w:cs="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auto"/>
            <w:vAlign w:val="center"/>
          </w:tcPr>
          <w:p>
            <w:pPr>
              <w:spacing w:line="240" w:lineRule="auto"/>
              <w:jc w:val="center"/>
              <w:rPr>
                <w:rFonts w:ascii="宋体" w:hAnsi="宋体" w:cs="等线"/>
                <w:szCs w:val="21"/>
              </w:rPr>
            </w:pPr>
            <w:r>
              <w:rPr>
                <w:rFonts w:hint="eastAsia" w:ascii="宋体" w:hAnsi="宋体" w:cs="等线"/>
                <w:szCs w:val="21"/>
              </w:rPr>
              <w:t>…</w:t>
            </w:r>
          </w:p>
        </w:tc>
        <w:tc>
          <w:tcPr>
            <w:tcW w:w="772" w:type="pct"/>
            <w:shd w:val="clear" w:color="auto" w:fill="auto"/>
            <w:vAlign w:val="center"/>
          </w:tcPr>
          <w:p>
            <w:pPr>
              <w:spacing w:line="240" w:lineRule="auto"/>
              <w:jc w:val="center"/>
              <w:rPr>
                <w:rFonts w:ascii="宋体" w:hAnsi="宋体" w:cs="等线"/>
                <w:szCs w:val="21"/>
              </w:rPr>
            </w:pPr>
          </w:p>
        </w:tc>
        <w:tc>
          <w:tcPr>
            <w:tcW w:w="770" w:type="pct"/>
            <w:shd w:val="clear" w:color="auto" w:fill="auto"/>
            <w:vAlign w:val="center"/>
          </w:tcPr>
          <w:p>
            <w:pPr>
              <w:spacing w:line="240" w:lineRule="auto"/>
              <w:jc w:val="center"/>
              <w:rPr>
                <w:rFonts w:ascii="宋体" w:hAnsi="宋体" w:cs="等线"/>
                <w:szCs w:val="21"/>
              </w:rPr>
            </w:pPr>
          </w:p>
        </w:tc>
        <w:tc>
          <w:tcPr>
            <w:tcW w:w="941" w:type="pct"/>
            <w:shd w:val="clear" w:color="auto" w:fill="auto"/>
            <w:vAlign w:val="center"/>
          </w:tcPr>
          <w:p>
            <w:pPr>
              <w:spacing w:line="240" w:lineRule="auto"/>
              <w:jc w:val="center"/>
              <w:rPr>
                <w:rFonts w:ascii="宋体" w:hAnsi="宋体" w:cs="等线"/>
                <w:szCs w:val="21"/>
              </w:rPr>
            </w:pPr>
          </w:p>
        </w:tc>
        <w:tc>
          <w:tcPr>
            <w:tcW w:w="1198" w:type="pct"/>
            <w:shd w:val="clear" w:color="auto" w:fill="auto"/>
            <w:vAlign w:val="center"/>
          </w:tcPr>
          <w:p>
            <w:pPr>
              <w:spacing w:line="240" w:lineRule="auto"/>
              <w:jc w:val="center"/>
              <w:rPr>
                <w:rFonts w:ascii="宋体" w:hAnsi="宋体" w:cs="等线"/>
                <w:szCs w:val="21"/>
              </w:rPr>
            </w:pPr>
          </w:p>
        </w:tc>
        <w:tc>
          <w:tcPr>
            <w:tcW w:w="858" w:type="pct"/>
            <w:shd w:val="clear" w:color="auto" w:fill="auto"/>
            <w:vAlign w:val="center"/>
          </w:tcPr>
          <w:p>
            <w:pPr>
              <w:spacing w:line="240" w:lineRule="auto"/>
              <w:jc w:val="center"/>
              <w:rPr>
                <w:rFonts w:ascii="宋体" w:hAnsi="宋体" w:cs="等线"/>
                <w:szCs w:val="21"/>
              </w:rPr>
            </w:pPr>
          </w:p>
        </w:tc>
      </w:tr>
    </w:tbl>
    <w:p>
      <w:pPr>
        <w:rPr>
          <w:rFonts w:ascii="宋体" w:hAnsi="宋体"/>
        </w:rPr>
      </w:pPr>
      <w:r>
        <w:rPr>
          <w:rFonts w:hint="eastAsia" w:ascii="宋体" w:hAnsi="宋体"/>
        </w:rPr>
        <w:t>说明：根据评审标准要求提供相关证明材料。</w:t>
      </w:r>
    </w:p>
    <w:p>
      <w:pPr>
        <w:jc w:val="left"/>
        <w:rPr>
          <w:rFonts w:ascii="宋体" w:hAnsi="宋体"/>
          <w:sz w:val="24"/>
        </w:rPr>
      </w:pPr>
    </w:p>
    <w:bookmarkEnd w:id="82"/>
    <w:bookmarkEnd w:id="83"/>
    <w:bookmarkEnd w:id="600"/>
    <w:bookmarkEnd w:id="601"/>
    <w:bookmarkEnd w:id="602"/>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60"/>
    <w:bookmarkEnd w:id="661"/>
    <w:bookmarkEnd w:id="662"/>
    <w:bookmarkEnd w:id="663"/>
    <w:bookmarkEnd w:id="664"/>
    <w:bookmarkEnd w:id="665"/>
    <w:bookmarkEnd w:id="666"/>
    <w:bookmarkEnd w:id="667"/>
    <w:bookmarkEnd w:id="668"/>
    <w:bookmarkEnd w:id="669"/>
    <w:p>
      <w:pPr>
        <w:pStyle w:val="5"/>
        <w:keepNext w:val="0"/>
        <w:keepLines w:val="0"/>
        <w:numPr>
          <w:ilvl w:val="0"/>
          <w:numId w:val="19"/>
        </w:numPr>
        <w:spacing w:before="120" w:after="120" w:line="240" w:lineRule="auto"/>
        <w:rPr>
          <w:rFonts w:ascii="宋体" w:hAnsi="宋体"/>
          <w:szCs w:val="24"/>
        </w:rPr>
      </w:pPr>
      <w:bookmarkStart w:id="670" w:name="_Toc103033254"/>
      <w:bookmarkStart w:id="671" w:name="_Toc104040721"/>
      <w:bookmarkStart w:id="672" w:name="_Toc36625609"/>
      <w:bookmarkStart w:id="673" w:name="_Toc68789544"/>
      <w:bookmarkStart w:id="674" w:name="_Toc76397766"/>
      <w:bookmarkStart w:id="675" w:name="_Toc70528472"/>
      <w:bookmarkStart w:id="676" w:name="_Toc67046919"/>
      <w:r>
        <w:rPr>
          <w:rFonts w:hint="eastAsia" w:ascii="宋体" w:hAnsi="宋体"/>
          <w:szCs w:val="24"/>
        </w:rPr>
        <w:t>其它重要事项说明及承诺</w:t>
      </w:r>
      <w:bookmarkEnd w:id="670"/>
      <w:bookmarkEnd w:id="671"/>
    </w:p>
    <w:p>
      <w:pPr>
        <w:rPr>
          <w:rFonts w:ascii="宋体" w:hAnsi="宋体"/>
        </w:rPr>
      </w:pPr>
      <w:r>
        <w:rPr>
          <w:rFonts w:hint="eastAsia" w:ascii="宋体" w:hAnsi="宋体" w:cs="宋体"/>
          <w:i/>
          <w:iCs/>
          <w:szCs w:val="21"/>
        </w:rPr>
        <w:t>(如有，请扼要叙述，格式自拟）</w:t>
      </w:r>
    </w:p>
    <w:p>
      <w:pPr>
        <w:jc w:val="left"/>
        <w:rPr>
          <w:rFonts w:ascii="宋体" w:hAnsi="宋体"/>
          <w:sz w:val="24"/>
        </w:rPr>
      </w:pPr>
    </w:p>
    <w:p>
      <w:pPr>
        <w:jc w:val="left"/>
        <w:rPr>
          <w:rFonts w:ascii="宋体" w:hAnsi="宋体"/>
          <w:sz w:val="24"/>
        </w:rPr>
      </w:pPr>
    </w:p>
    <w:p>
      <w:pPr>
        <w:jc w:val="left"/>
        <w:rPr>
          <w:rFonts w:ascii="宋体" w:hAnsi="宋体"/>
          <w:b/>
          <w:bCs/>
          <w:sz w:val="24"/>
        </w:rPr>
      </w:pPr>
      <w:r>
        <w:rPr>
          <w:rFonts w:ascii="宋体" w:hAnsi="宋体"/>
          <w:sz w:val="24"/>
        </w:rPr>
        <w:br w:type="page"/>
      </w:r>
    </w:p>
    <w:p>
      <w:pPr>
        <w:pStyle w:val="5"/>
        <w:keepNext w:val="0"/>
        <w:keepLines w:val="0"/>
        <w:numPr>
          <w:ilvl w:val="0"/>
          <w:numId w:val="19"/>
        </w:numPr>
        <w:spacing w:before="120" w:after="120" w:line="240" w:lineRule="auto"/>
        <w:rPr>
          <w:rFonts w:ascii="宋体" w:hAnsi="宋体"/>
          <w:szCs w:val="24"/>
        </w:rPr>
      </w:pPr>
      <w:bookmarkStart w:id="677" w:name="_Toc104040722"/>
      <w:bookmarkStart w:id="678" w:name="_Toc103033255"/>
      <w:r>
        <w:rPr>
          <w:rFonts w:hint="eastAsia" w:ascii="宋体" w:hAnsi="宋体"/>
          <w:szCs w:val="24"/>
        </w:rPr>
        <w:t>采购代理服务费</w:t>
      </w:r>
      <w:bookmarkEnd w:id="672"/>
      <w:bookmarkEnd w:id="673"/>
      <w:bookmarkEnd w:id="674"/>
      <w:bookmarkEnd w:id="675"/>
      <w:bookmarkEnd w:id="676"/>
      <w:bookmarkEnd w:id="677"/>
      <w:bookmarkEnd w:id="678"/>
      <w:r>
        <w:rPr>
          <w:rFonts w:hint="eastAsia" w:ascii="宋体" w:hAnsi="宋体"/>
          <w:szCs w:val="24"/>
        </w:rPr>
        <w:t>支付承诺书</w:t>
      </w:r>
    </w:p>
    <w:p>
      <w:pPr>
        <w:jc w:val="center"/>
        <w:rPr>
          <w:rFonts w:ascii="宋体" w:hAnsi="宋体"/>
          <w:b/>
          <w:bCs/>
          <w:sz w:val="28"/>
          <w:szCs w:val="28"/>
        </w:rPr>
      </w:pPr>
      <w:r>
        <w:rPr>
          <w:rFonts w:hint="eastAsia" w:ascii="宋体" w:hAnsi="宋体"/>
          <w:b/>
          <w:bCs/>
          <w:sz w:val="28"/>
          <w:szCs w:val="28"/>
        </w:rPr>
        <w:t>采购代理服务费支付承诺书</w:t>
      </w:r>
    </w:p>
    <w:p>
      <w:pPr>
        <w:rPr>
          <w:rFonts w:ascii="宋体" w:hAnsi="宋体"/>
          <w:sz w:val="24"/>
        </w:rPr>
      </w:pPr>
      <w:r>
        <w:rPr>
          <w:rFonts w:hint="eastAsia" w:ascii="宋体" w:hAnsi="宋体"/>
          <w:sz w:val="24"/>
        </w:rPr>
        <w:t>致：广东达禾工程管理有限公司</w:t>
      </w:r>
    </w:p>
    <w:p>
      <w:pPr>
        <w:pStyle w:val="48"/>
        <w:spacing w:after="0" w:line="360" w:lineRule="auto"/>
        <w:ind w:left="0" w:leftChars="0" w:firstLine="480"/>
        <w:rPr>
          <w:rFonts w:ascii="宋体" w:hAnsi="宋体"/>
          <w:sz w:val="24"/>
        </w:rPr>
      </w:pPr>
      <w:r>
        <w:rPr>
          <w:rFonts w:hint="eastAsia" w:ascii="宋体" w:hAnsi="宋体"/>
          <w:sz w:val="24"/>
        </w:rPr>
        <w:t>我方</w:t>
      </w:r>
      <w:r>
        <w:rPr>
          <w:rFonts w:ascii="宋体" w:hAnsi="宋体"/>
          <w:sz w:val="24"/>
        </w:rPr>
        <w:t>作为投标</w:t>
      </w:r>
      <w:r>
        <w:rPr>
          <w:rFonts w:hint="eastAsia" w:ascii="宋体" w:hAnsi="宋体"/>
          <w:sz w:val="24"/>
        </w:rPr>
        <w:t>（响应）供应商参加贵公司</w:t>
      </w:r>
      <w:r>
        <w:rPr>
          <w:rFonts w:ascii="宋体" w:hAnsi="宋体"/>
          <w:sz w:val="24"/>
        </w:rPr>
        <w:t>（广东达禾工程管理有限公司）</w:t>
      </w:r>
      <w:r>
        <w:rPr>
          <w:rFonts w:hint="eastAsia" w:ascii="宋体" w:hAnsi="宋体"/>
          <w:sz w:val="24"/>
        </w:rPr>
        <w:t>组织的</w:t>
      </w:r>
      <w:r>
        <w:rPr>
          <w:rFonts w:hint="eastAsia" w:ascii="宋体" w:hAnsi="宋体"/>
          <w:sz w:val="24"/>
          <w:u w:val="single"/>
        </w:rPr>
        <w:t>（项目名称）</w:t>
      </w:r>
      <w:r>
        <w:rPr>
          <w:rFonts w:ascii="宋体" w:hAnsi="宋体"/>
          <w:sz w:val="24"/>
        </w:rPr>
        <w:t>（项目编号：）</w:t>
      </w:r>
      <w:r>
        <w:rPr>
          <w:rFonts w:hint="eastAsia" w:ascii="宋体" w:hAnsi="宋体"/>
          <w:sz w:val="24"/>
        </w:rPr>
        <w:t>采购活动</w:t>
      </w:r>
      <w:r>
        <w:rPr>
          <w:rFonts w:ascii="宋体" w:hAnsi="宋体"/>
          <w:sz w:val="24"/>
        </w:rPr>
        <w:t>，若在本项目</w:t>
      </w:r>
      <w:r>
        <w:rPr>
          <w:rFonts w:hint="eastAsia" w:ascii="宋体" w:hAnsi="宋体"/>
          <w:sz w:val="24"/>
        </w:rPr>
        <w:t>中获得</w:t>
      </w:r>
      <w:r>
        <w:rPr>
          <w:rFonts w:ascii="宋体" w:hAnsi="宋体"/>
          <w:sz w:val="24"/>
        </w:rPr>
        <w:t>中标</w:t>
      </w:r>
      <w:r>
        <w:rPr>
          <w:rFonts w:hint="eastAsia" w:ascii="宋体" w:hAnsi="宋体"/>
          <w:sz w:val="24"/>
        </w:rPr>
        <w:t>（成交）资格</w:t>
      </w:r>
      <w:r>
        <w:rPr>
          <w:rFonts w:ascii="宋体" w:hAnsi="宋体"/>
          <w:sz w:val="24"/>
        </w:rPr>
        <w:t>，</w:t>
      </w:r>
      <w:r>
        <w:rPr>
          <w:rFonts w:hint="eastAsia" w:ascii="宋体" w:hAnsi="宋体"/>
          <w:sz w:val="24"/>
        </w:rPr>
        <w:t>将</w:t>
      </w:r>
      <w:r>
        <w:rPr>
          <w:rFonts w:ascii="宋体" w:hAnsi="宋体"/>
          <w:sz w:val="24"/>
        </w:rPr>
        <w:t>同意支付采购代理服务费。</w:t>
      </w:r>
    </w:p>
    <w:p>
      <w:pPr>
        <w:pStyle w:val="48"/>
        <w:spacing w:after="0" w:line="360" w:lineRule="auto"/>
        <w:ind w:left="0" w:leftChars="0" w:firstLine="480"/>
        <w:rPr>
          <w:rFonts w:ascii="宋体" w:hAnsi="宋体"/>
          <w:sz w:val="24"/>
        </w:rPr>
      </w:pPr>
      <w:r>
        <w:rPr>
          <w:rFonts w:hint="eastAsia" w:ascii="宋体" w:hAnsi="宋体"/>
          <w:sz w:val="24"/>
        </w:rPr>
        <w:t>我方保证在贵公司发出《领取中标（成交）通知书》后</w:t>
      </w:r>
      <w:r>
        <w:rPr>
          <w:rFonts w:ascii="宋体" w:hAnsi="宋体"/>
          <w:sz w:val="24"/>
        </w:rPr>
        <w:t>3个工作日内向贵公司缴纳本采购文件</w:t>
      </w:r>
      <w:r>
        <w:rPr>
          <w:rFonts w:hint="eastAsia" w:ascii="宋体" w:hAnsi="宋体"/>
          <w:sz w:val="24"/>
        </w:rPr>
        <w:t>规定</w:t>
      </w:r>
      <w:r>
        <w:rPr>
          <w:rFonts w:ascii="宋体" w:hAnsi="宋体"/>
          <w:sz w:val="24"/>
        </w:rPr>
        <w:t>的采购代理服务费。</w:t>
      </w:r>
    </w:p>
    <w:p>
      <w:pPr>
        <w:pStyle w:val="48"/>
        <w:spacing w:after="0" w:line="360" w:lineRule="auto"/>
        <w:ind w:left="0" w:leftChars="0" w:firstLine="480"/>
        <w:rPr>
          <w:rFonts w:ascii="宋体" w:hAnsi="宋体"/>
          <w:sz w:val="24"/>
        </w:rPr>
      </w:pPr>
      <w:r>
        <w:rPr>
          <w:rFonts w:hint="eastAsia" w:ascii="宋体" w:hAnsi="宋体"/>
          <w:sz w:val="24"/>
        </w:rPr>
        <w:t>若我方未按前述期限支付采购代理服务费，贵公司有权直接在应付我方任何一笔款项中直接扣除。因前述事项发生争议，我方同意将争议提交茂名仲裁委员会仲裁解决。</w:t>
      </w:r>
    </w:p>
    <w:p>
      <w:pPr>
        <w:pStyle w:val="48"/>
        <w:spacing w:after="0" w:line="360" w:lineRule="auto"/>
        <w:ind w:left="0" w:leftChars="0" w:firstLine="480"/>
        <w:rPr>
          <w:rFonts w:ascii="宋体" w:hAnsi="宋体"/>
          <w:sz w:val="24"/>
        </w:rPr>
      </w:pPr>
      <w:r>
        <w:rPr>
          <w:rFonts w:hint="eastAsia" w:ascii="宋体" w:hAnsi="宋体"/>
          <w:sz w:val="24"/>
        </w:rPr>
        <w:t>特此承诺！</w:t>
      </w:r>
    </w:p>
    <w:p>
      <w:pPr>
        <w:jc w:val="left"/>
        <w:rPr>
          <w:rFonts w:ascii="宋体" w:hAnsi="宋体"/>
          <w:sz w:val="24"/>
        </w:rPr>
      </w:pPr>
    </w:p>
    <w:p>
      <w:pPr>
        <w:pStyle w:val="358"/>
        <w:wordWrap w:val="0"/>
        <w:spacing w:line="480" w:lineRule="auto"/>
        <w:ind w:firstLine="0" w:firstLineChars="0"/>
        <w:jc w:val="right"/>
        <w:rPr>
          <w:lang w:eastAsia="zh-CN"/>
        </w:rPr>
      </w:pPr>
      <w:r>
        <w:rPr>
          <w:rFonts w:hint="eastAsia"/>
          <w:kern w:val="0"/>
          <w:lang w:eastAsia="zh-CN"/>
        </w:rPr>
        <w:t>供应商</w:t>
      </w:r>
      <w:r>
        <w:rPr>
          <w:rFonts w:hint="eastAsia"/>
          <w:lang w:eastAsia="zh-CN"/>
        </w:rPr>
        <w:t>法定代表人或其授权委托人（签字或盖章）：</w:t>
      </w:r>
    </w:p>
    <w:p>
      <w:pPr>
        <w:pStyle w:val="358"/>
        <w:wordWrap w:val="0"/>
        <w:spacing w:line="480" w:lineRule="auto"/>
        <w:ind w:firstLine="0" w:firstLineChars="0"/>
        <w:jc w:val="right"/>
        <w:rPr>
          <w:lang w:eastAsia="zh-CN"/>
        </w:rPr>
      </w:pPr>
      <w:r>
        <w:rPr>
          <w:rFonts w:hint="eastAsia"/>
          <w:lang w:eastAsia="zh-CN"/>
        </w:rPr>
        <w:t>供应商名称（盖章）：</w:t>
      </w:r>
    </w:p>
    <w:p>
      <w:pPr>
        <w:pStyle w:val="358"/>
        <w:spacing w:line="480" w:lineRule="auto"/>
        <w:ind w:firstLine="4960" w:firstLineChars="2067"/>
        <w:jc w:val="right"/>
        <w:rPr>
          <w:lang w:eastAsia="zh-CN"/>
        </w:rPr>
      </w:pPr>
      <w:r>
        <w:rPr>
          <w:rFonts w:hint="eastAsia"/>
          <w:lang w:eastAsia="zh-CN"/>
        </w:rPr>
        <w:t>日期：</w:t>
      </w:r>
      <w:r>
        <w:rPr>
          <w:lang w:eastAsia="zh-CN"/>
        </w:rPr>
        <w:t>年月日</w:t>
      </w:r>
    </w:p>
    <w:p>
      <w:pPr>
        <w:pStyle w:val="21"/>
        <w:rPr>
          <w:rFonts w:ascii="宋体" w:hAnsi="宋体"/>
        </w:rPr>
      </w:pPr>
    </w:p>
    <w:p>
      <w:pPr>
        <w:ind w:firstLine="420" w:firstLineChars="200"/>
        <w:jc w:val="left"/>
        <w:rPr>
          <w:rFonts w:ascii="宋体" w:hAnsi="宋体"/>
          <w:szCs w:val="21"/>
        </w:rPr>
      </w:pPr>
      <w:r>
        <w:rPr>
          <w:rFonts w:hint="eastAsia" w:ascii="宋体" w:hAnsi="宋体"/>
          <w:szCs w:val="21"/>
        </w:rPr>
        <w:t>附件：</w:t>
      </w:r>
    </w:p>
    <w:tbl>
      <w:tblPr>
        <w:tblStyle w:val="4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1773"/>
        <w:gridCol w:w="5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892" w:type="pct"/>
            <w:gridSpan w:val="2"/>
            <w:vAlign w:val="center"/>
          </w:tcPr>
          <w:p>
            <w:pPr>
              <w:pStyle w:val="21"/>
              <w:spacing w:line="240" w:lineRule="auto"/>
              <w:ind w:firstLine="422"/>
              <w:jc w:val="center"/>
              <w:rPr>
                <w:rFonts w:ascii="宋体" w:hAnsi="宋体"/>
                <w:b/>
                <w:bCs/>
                <w:szCs w:val="21"/>
              </w:rPr>
            </w:pPr>
            <w:r>
              <w:rPr>
                <w:rFonts w:hint="eastAsia" w:ascii="宋体" w:hAnsi="宋体"/>
                <w:b/>
                <w:bCs/>
                <w:szCs w:val="21"/>
              </w:rPr>
              <w:t>项目</w:t>
            </w:r>
          </w:p>
        </w:tc>
        <w:tc>
          <w:tcPr>
            <w:tcW w:w="3108" w:type="pct"/>
            <w:vAlign w:val="center"/>
          </w:tcPr>
          <w:p>
            <w:pPr>
              <w:pStyle w:val="21"/>
              <w:spacing w:line="240" w:lineRule="auto"/>
              <w:ind w:firstLine="422"/>
              <w:jc w:val="center"/>
              <w:rPr>
                <w:rFonts w:ascii="宋体" w:hAnsi="宋体"/>
                <w:b/>
                <w:bCs/>
                <w:szCs w:val="21"/>
              </w:rPr>
            </w:pPr>
            <w:r>
              <w:rPr>
                <w:rFonts w:hint="eastAsia" w:ascii="宋体" w:hAnsi="宋体"/>
                <w:b/>
                <w:bCs/>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33" w:type="pct"/>
            <w:vMerge w:val="restart"/>
            <w:vAlign w:val="center"/>
          </w:tcPr>
          <w:p>
            <w:pPr>
              <w:pStyle w:val="21"/>
              <w:spacing w:line="240" w:lineRule="auto"/>
              <w:jc w:val="center"/>
              <w:rPr>
                <w:rFonts w:ascii="宋体" w:hAnsi="宋体"/>
                <w:szCs w:val="21"/>
              </w:rPr>
            </w:pPr>
            <w:r>
              <w:rPr>
                <w:rFonts w:hint="eastAsia" w:ascii="宋体" w:hAnsi="宋体"/>
                <w:szCs w:val="21"/>
              </w:rPr>
              <w:t>增值税专用发票开票信息</w:t>
            </w:r>
          </w:p>
          <w:p>
            <w:pPr>
              <w:pStyle w:val="21"/>
              <w:spacing w:line="240" w:lineRule="auto"/>
              <w:jc w:val="center"/>
              <w:rPr>
                <w:rFonts w:ascii="宋体" w:hAnsi="宋体"/>
                <w:szCs w:val="21"/>
              </w:rPr>
            </w:pPr>
            <w:r>
              <w:rPr>
                <w:rFonts w:hint="eastAsia" w:ascii="宋体" w:hAnsi="宋体"/>
                <w:szCs w:val="21"/>
              </w:rPr>
              <w:t>（此信息适用于开具采购代理服务费发票，请准确填写，如有变更应及时联系代理机构）</w:t>
            </w:r>
          </w:p>
        </w:tc>
        <w:tc>
          <w:tcPr>
            <w:tcW w:w="959" w:type="pct"/>
            <w:vAlign w:val="center"/>
          </w:tcPr>
          <w:p>
            <w:pPr>
              <w:pStyle w:val="21"/>
              <w:spacing w:line="240" w:lineRule="auto"/>
              <w:jc w:val="center"/>
              <w:rPr>
                <w:rFonts w:ascii="宋体" w:hAnsi="宋体"/>
                <w:szCs w:val="21"/>
              </w:rPr>
            </w:pPr>
            <w:r>
              <w:rPr>
                <w:rFonts w:hint="eastAsia" w:ascii="宋体" w:hAnsi="宋体"/>
                <w:szCs w:val="21"/>
              </w:rPr>
              <w:t>发票类型</w:t>
            </w:r>
          </w:p>
        </w:tc>
        <w:tc>
          <w:tcPr>
            <w:tcW w:w="3108" w:type="pct"/>
            <w:vAlign w:val="center"/>
          </w:tcPr>
          <w:p>
            <w:pPr>
              <w:pStyle w:val="21"/>
              <w:spacing w:line="240" w:lineRule="auto"/>
              <w:jc w:val="center"/>
              <w:rPr>
                <w:rFonts w:ascii="宋体" w:hAnsi="宋体"/>
                <w:szCs w:val="21"/>
              </w:rPr>
            </w:pPr>
            <w:r>
              <w:rPr>
                <w:rFonts w:hint="eastAsia" w:ascii="宋体" w:hAnsi="宋体"/>
                <w:szCs w:val="21"/>
              </w:rPr>
              <w:t>□增值税普通发票 □增值税专用发票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933" w:type="pct"/>
            <w:vMerge w:val="continue"/>
            <w:vAlign w:val="center"/>
          </w:tcPr>
          <w:p>
            <w:pPr>
              <w:pStyle w:val="21"/>
              <w:spacing w:line="240" w:lineRule="auto"/>
              <w:jc w:val="center"/>
              <w:rPr>
                <w:rFonts w:ascii="宋体" w:hAnsi="宋体"/>
                <w:szCs w:val="21"/>
              </w:rPr>
            </w:pPr>
          </w:p>
        </w:tc>
        <w:tc>
          <w:tcPr>
            <w:tcW w:w="959" w:type="pct"/>
            <w:vAlign w:val="center"/>
          </w:tcPr>
          <w:p>
            <w:pPr>
              <w:pStyle w:val="21"/>
              <w:spacing w:line="240" w:lineRule="auto"/>
              <w:jc w:val="center"/>
              <w:rPr>
                <w:rFonts w:ascii="宋体" w:hAnsi="宋体"/>
                <w:szCs w:val="21"/>
              </w:rPr>
            </w:pPr>
            <w:r>
              <w:rPr>
                <w:rFonts w:hint="eastAsia" w:ascii="宋体" w:hAnsi="宋体"/>
                <w:szCs w:val="21"/>
              </w:rPr>
              <w:t>名称</w:t>
            </w:r>
          </w:p>
        </w:tc>
        <w:tc>
          <w:tcPr>
            <w:tcW w:w="3108" w:type="pct"/>
            <w:vAlign w:val="center"/>
          </w:tcPr>
          <w:p>
            <w:pPr>
              <w:pStyle w:val="21"/>
              <w:spacing w:line="24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1"/>
              <w:spacing w:line="240" w:lineRule="auto"/>
              <w:jc w:val="center"/>
              <w:rPr>
                <w:rFonts w:ascii="宋体" w:hAnsi="宋体"/>
                <w:szCs w:val="21"/>
              </w:rPr>
            </w:pPr>
          </w:p>
        </w:tc>
        <w:tc>
          <w:tcPr>
            <w:tcW w:w="959" w:type="pct"/>
            <w:vAlign w:val="center"/>
          </w:tcPr>
          <w:p>
            <w:pPr>
              <w:pStyle w:val="21"/>
              <w:spacing w:line="240" w:lineRule="auto"/>
              <w:jc w:val="center"/>
              <w:rPr>
                <w:rFonts w:ascii="宋体" w:hAnsi="宋体"/>
                <w:szCs w:val="21"/>
              </w:rPr>
            </w:pPr>
            <w:r>
              <w:rPr>
                <w:rFonts w:hint="eastAsia" w:ascii="宋体" w:hAnsi="宋体"/>
                <w:szCs w:val="21"/>
              </w:rPr>
              <w:t>纳税人识别号</w:t>
            </w:r>
          </w:p>
        </w:tc>
        <w:tc>
          <w:tcPr>
            <w:tcW w:w="3108" w:type="pct"/>
            <w:vAlign w:val="center"/>
          </w:tcPr>
          <w:p>
            <w:pPr>
              <w:pStyle w:val="21"/>
              <w:spacing w:line="24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1"/>
              <w:spacing w:line="240" w:lineRule="auto"/>
              <w:jc w:val="center"/>
              <w:rPr>
                <w:rFonts w:ascii="宋体" w:hAnsi="宋体"/>
                <w:szCs w:val="21"/>
              </w:rPr>
            </w:pPr>
          </w:p>
        </w:tc>
        <w:tc>
          <w:tcPr>
            <w:tcW w:w="959" w:type="pct"/>
            <w:vAlign w:val="center"/>
          </w:tcPr>
          <w:p>
            <w:pPr>
              <w:pStyle w:val="21"/>
              <w:spacing w:line="240" w:lineRule="auto"/>
              <w:jc w:val="center"/>
              <w:rPr>
                <w:rFonts w:ascii="宋体" w:hAnsi="宋体"/>
                <w:szCs w:val="21"/>
              </w:rPr>
            </w:pPr>
            <w:r>
              <w:rPr>
                <w:rFonts w:hint="eastAsia" w:ascii="宋体" w:hAnsi="宋体"/>
                <w:szCs w:val="21"/>
              </w:rPr>
              <w:t>单位地址</w:t>
            </w:r>
          </w:p>
        </w:tc>
        <w:tc>
          <w:tcPr>
            <w:tcW w:w="3108" w:type="pct"/>
            <w:vAlign w:val="center"/>
          </w:tcPr>
          <w:p>
            <w:pPr>
              <w:pStyle w:val="21"/>
              <w:spacing w:line="24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1"/>
              <w:spacing w:line="240" w:lineRule="auto"/>
              <w:jc w:val="center"/>
              <w:rPr>
                <w:rFonts w:ascii="宋体" w:hAnsi="宋体"/>
                <w:szCs w:val="21"/>
              </w:rPr>
            </w:pPr>
          </w:p>
        </w:tc>
        <w:tc>
          <w:tcPr>
            <w:tcW w:w="959" w:type="pct"/>
            <w:vAlign w:val="center"/>
          </w:tcPr>
          <w:p>
            <w:pPr>
              <w:pStyle w:val="21"/>
              <w:spacing w:line="240" w:lineRule="auto"/>
              <w:jc w:val="center"/>
              <w:rPr>
                <w:rFonts w:ascii="宋体" w:hAnsi="宋体"/>
                <w:szCs w:val="21"/>
              </w:rPr>
            </w:pPr>
            <w:r>
              <w:rPr>
                <w:rFonts w:hint="eastAsia" w:ascii="宋体" w:hAnsi="宋体"/>
                <w:szCs w:val="21"/>
              </w:rPr>
              <w:t>电话号码</w:t>
            </w:r>
          </w:p>
        </w:tc>
        <w:tc>
          <w:tcPr>
            <w:tcW w:w="3108" w:type="pct"/>
            <w:vAlign w:val="center"/>
          </w:tcPr>
          <w:p>
            <w:pPr>
              <w:pStyle w:val="21"/>
              <w:spacing w:line="24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1"/>
              <w:spacing w:line="240" w:lineRule="auto"/>
              <w:jc w:val="center"/>
              <w:rPr>
                <w:rFonts w:ascii="宋体" w:hAnsi="宋体"/>
                <w:szCs w:val="21"/>
              </w:rPr>
            </w:pPr>
          </w:p>
        </w:tc>
        <w:tc>
          <w:tcPr>
            <w:tcW w:w="959" w:type="pct"/>
            <w:vAlign w:val="center"/>
          </w:tcPr>
          <w:p>
            <w:pPr>
              <w:pStyle w:val="21"/>
              <w:spacing w:line="240" w:lineRule="auto"/>
              <w:jc w:val="center"/>
              <w:rPr>
                <w:rFonts w:ascii="宋体" w:hAnsi="宋体"/>
                <w:szCs w:val="21"/>
              </w:rPr>
            </w:pPr>
            <w:r>
              <w:rPr>
                <w:rFonts w:hint="eastAsia" w:ascii="宋体" w:hAnsi="宋体"/>
                <w:szCs w:val="21"/>
              </w:rPr>
              <w:t>开户银行</w:t>
            </w:r>
          </w:p>
        </w:tc>
        <w:tc>
          <w:tcPr>
            <w:tcW w:w="3108" w:type="pct"/>
            <w:vAlign w:val="center"/>
          </w:tcPr>
          <w:p>
            <w:pPr>
              <w:pStyle w:val="21"/>
              <w:spacing w:line="24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1"/>
              <w:spacing w:line="240" w:lineRule="auto"/>
              <w:jc w:val="center"/>
              <w:rPr>
                <w:rFonts w:ascii="宋体" w:hAnsi="宋体"/>
                <w:szCs w:val="21"/>
              </w:rPr>
            </w:pPr>
          </w:p>
        </w:tc>
        <w:tc>
          <w:tcPr>
            <w:tcW w:w="959" w:type="pct"/>
            <w:vAlign w:val="center"/>
          </w:tcPr>
          <w:p>
            <w:pPr>
              <w:pStyle w:val="21"/>
              <w:spacing w:line="240" w:lineRule="auto"/>
              <w:jc w:val="center"/>
              <w:rPr>
                <w:rFonts w:ascii="宋体" w:hAnsi="宋体"/>
                <w:szCs w:val="21"/>
              </w:rPr>
            </w:pPr>
            <w:r>
              <w:rPr>
                <w:rFonts w:hint="eastAsia" w:ascii="宋体" w:hAnsi="宋体"/>
                <w:szCs w:val="21"/>
              </w:rPr>
              <w:t>银行账号</w:t>
            </w:r>
          </w:p>
        </w:tc>
        <w:tc>
          <w:tcPr>
            <w:tcW w:w="3108" w:type="pct"/>
            <w:vAlign w:val="center"/>
          </w:tcPr>
          <w:p>
            <w:pPr>
              <w:pStyle w:val="21"/>
              <w:spacing w:line="24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restart"/>
            <w:vAlign w:val="center"/>
          </w:tcPr>
          <w:p>
            <w:pPr>
              <w:pStyle w:val="21"/>
              <w:spacing w:line="240" w:lineRule="auto"/>
              <w:jc w:val="center"/>
              <w:rPr>
                <w:rFonts w:ascii="宋体" w:hAnsi="宋体"/>
                <w:szCs w:val="21"/>
              </w:rPr>
            </w:pPr>
            <w:r>
              <w:rPr>
                <w:rFonts w:hint="eastAsia" w:ascii="宋体" w:hAnsi="宋体"/>
                <w:szCs w:val="21"/>
              </w:rPr>
              <w:t>供应商发票收件信息</w:t>
            </w:r>
          </w:p>
        </w:tc>
        <w:tc>
          <w:tcPr>
            <w:tcW w:w="959" w:type="pct"/>
            <w:vAlign w:val="center"/>
          </w:tcPr>
          <w:p>
            <w:pPr>
              <w:pStyle w:val="21"/>
              <w:spacing w:line="240" w:lineRule="auto"/>
              <w:jc w:val="center"/>
              <w:rPr>
                <w:rFonts w:ascii="宋体" w:hAnsi="宋体"/>
                <w:szCs w:val="21"/>
              </w:rPr>
            </w:pPr>
            <w:r>
              <w:rPr>
                <w:rFonts w:hint="eastAsia" w:ascii="宋体" w:hAnsi="宋体"/>
                <w:szCs w:val="21"/>
              </w:rPr>
              <w:t>联系人</w:t>
            </w:r>
          </w:p>
        </w:tc>
        <w:tc>
          <w:tcPr>
            <w:tcW w:w="3108" w:type="pct"/>
            <w:vAlign w:val="center"/>
          </w:tcPr>
          <w:p>
            <w:pPr>
              <w:pStyle w:val="21"/>
              <w:spacing w:line="24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1"/>
              <w:spacing w:line="240" w:lineRule="auto"/>
              <w:jc w:val="center"/>
              <w:rPr>
                <w:rFonts w:ascii="宋体" w:hAnsi="宋体"/>
                <w:szCs w:val="21"/>
              </w:rPr>
            </w:pPr>
          </w:p>
        </w:tc>
        <w:tc>
          <w:tcPr>
            <w:tcW w:w="959" w:type="pct"/>
            <w:vAlign w:val="center"/>
          </w:tcPr>
          <w:p>
            <w:pPr>
              <w:pStyle w:val="21"/>
              <w:spacing w:line="240" w:lineRule="auto"/>
              <w:jc w:val="center"/>
              <w:rPr>
                <w:rFonts w:ascii="宋体" w:hAnsi="宋体"/>
                <w:szCs w:val="21"/>
              </w:rPr>
            </w:pPr>
            <w:r>
              <w:rPr>
                <w:rFonts w:hint="eastAsia" w:ascii="宋体" w:hAnsi="宋体"/>
                <w:szCs w:val="21"/>
              </w:rPr>
              <w:t>联系电话</w:t>
            </w:r>
          </w:p>
        </w:tc>
        <w:tc>
          <w:tcPr>
            <w:tcW w:w="3108" w:type="pct"/>
            <w:vAlign w:val="center"/>
          </w:tcPr>
          <w:p>
            <w:pPr>
              <w:pStyle w:val="21"/>
              <w:spacing w:line="24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1"/>
              <w:spacing w:line="240" w:lineRule="auto"/>
              <w:jc w:val="center"/>
              <w:rPr>
                <w:rFonts w:ascii="宋体" w:hAnsi="宋体"/>
                <w:szCs w:val="21"/>
              </w:rPr>
            </w:pPr>
          </w:p>
        </w:tc>
        <w:tc>
          <w:tcPr>
            <w:tcW w:w="959" w:type="pct"/>
            <w:vAlign w:val="center"/>
          </w:tcPr>
          <w:p>
            <w:pPr>
              <w:pStyle w:val="21"/>
              <w:spacing w:line="240" w:lineRule="auto"/>
              <w:jc w:val="center"/>
              <w:rPr>
                <w:rFonts w:ascii="宋体" w:hAnsi="宋体"/>
                <w:szCs w:val="21"/>
              </w:rPr>
            </w:pPr>
            <w:r>
              <w:rPr>
                <w:rFonts w:hint="eastAsia" w:ascii="宋体" w:hAnsi="宋体"/>
                <w:szCs w:val="21"/>
              </w:rPr>
              <w:t>收件地址</w:t>
            </w:r>
          </w:p>
        </w:tc>
        <w:tc>
          <w:tcPr>
            <w:tcW w:w="3108" w:type="pct"/>
            <w:vAlign w:val="center"/>
          </w:tcPr>
          <w:p>
            <w:pPr>
              <w:pStyle w:val="21"/>
              <w:spacing w:line="240" w:lineRule="auto"/>
              <w:jc w:val="center"/>
              <w:rPr>
                <w:rFonts w:ascii="宋体" w:hAnsi="宋体"/>
                <w:szCs w:val="21"/>
              </w:rPr>
            </w:pPr>
          </w:p>
        </w:tc>
      </w:tr>
    </w:tbl>
    <w:p>
      <w:pPr>
        <w:pStyle w:val="5"/>
        <w:keepNext w:val="0"/>
        <w:keepLines w:val="0"/>
        <w:spacing w:line="415" w:lineRule="auto"/>
        <w:rPr>
          <w:rFonts w:ascii="宋体" w:hAnsi="宋体"/>
          <w:bCs w:val="0"/>
          <w:sz w:val="28"/>
          <w:szCs w:val="28"/>
        </w:rPr>
      </w:pPr>
      <w:r>
        <w:rPr>
          <w:rFonts w:ascii="宋体" w:hAnsi="宋体"/>
          <w:szCs w:val="21"/>
        </w:rPr>
        <w:br w:type="page"/>
      </w:r>
    </w:p>
    <w:p>
      <w:pPr>
        <w:pStyle w:val="5"/>
        <w:keepNext w:val="0"/>
        <w:keepLines w:val="0"/>
        <w:numPr>
          <w:ilvl w:val="0"/>
          <w:numId w:val="19"/>
        </w:numPr>
        <w:spacing w:before="120" w:after="120" w:line="240" w:lineRule="auto"/>
        <w:rPr>
          <w:rFonts w:ascii="宋体" w:hAnsi="宋体"/>
          <w:szCs w:val="24"/>
        </w:rPr>
      </w:pPr>
      <w:bookmarkStart w:id="679" w:name="_Toc104040723"/>
      <w:bookmarkStart w:id="680" w:name="_Toc103033256"/>
      <w:r>
        <w:rPr>
          <w:rFonts w:hint="eastAsia" w:ascii="宋体" w:hAnsi="宋体"/>
          <w:szCs w:val="24"/>
        </w:rPr>
        <w:t>总体概述、技术方案等内容</w:t>
      </w:r>
    </w:p>
    <w:p>
      <w:pPr>
        <w:pStyle w:val="48"/>
        <w:spacing w:after="0"/>
        <w:ind w:left="0" w:leftChars="0" w:firstLine="0" w:firstLineChars="0"/>
        <w:rPr>
          <w:i/>
          <w:iCs/>
          <w:szCs w:val="21"/>
        </w:rPr>
      </w:pPr>
      <w:r>
        <w:rPr>
          <w:rFonts w:hint="eastAsia"/>
          <w:i/>
          <w:iCs/>
          <w:szCs w:val="21"/>
        </w:rPr>
        <w:t>（如有，请扼要叙述，格式自拟）</w:t>
      </w:r>
    </w:p>
    <w:p>
      <w:pPr>
        <w:pStyle w:val="21"/>
      </w:pPr>
    </w:p>
    <w:p>
      <w:pPr>
        <w:pStyle w:val="5"/>
        <w:keepNext w:val="0"/>
        <w:keepLines w:val="0"/>
        <w:numPr>
          <w:ilvl w:val="0"/>
          <w:numId w:val="19"/>
        </w:numPr>
        <w:spacing w:before="120" w:after="120" w:line="240" w:lineRule="auto"/>
        <w:rPr>
          <w:rFonts w:ascii="宋体" w:hAnsi="宋体"/>
          <w:szCs w:val="24"/>
        </w:rPr>
      </w:pPr>
      <w:r>
        <w:rPr>
          <w:rFonts w:hint="eastAsia" w:ascii="宋体" w:hAnsi="宋体"/>
          <w:szCs w:val="24"/>
        </w:rPr>
        <w:t>询问函、质疑函、投诉书格式</w:t>
      </w:r>
      <w:bookmarkEnd w:id="679"/>
      <w:bookmarkEnd w:id="680"/>
    </w:p>
    <w:p>
      <w:pPr>
        <w:jc w:val="left"/>
        <w:rPr>
          <w:rFonts w:ascii="宋体" w:hAnsi="宋体" w:cs="宋体"/>
          <w:i/>
          <w:iCs/>
          <w:szCs w:val="21"/>
        </w:rPr>
      </w:pPr>
      <w:bookmarkStart w:id="681" w:name="_Hlk112011260"/>
      <w:r>
        <w:rPr>
          <w:rFonts w:hint="eastAsia" w:ascii="宋体" w:hAnsi="宋体" w:cs="宋体"/>
          <w:i/>
          <w:iCs/>
          <w:szCs w:val="21"/>
        </w:rPr>
        <w:t>（以下格式文件为供应商提交询问函、质疑函、投诉函时使用，不属于响应文件格式的组成部分，供应商根据需要选用）</w:t>
      </w:r>
    </w:p>
    <w:bookmarkEnd w:id="681"/>
    <w:p>
      <w:pPr>
        <w:jc w:val="center"/>
        <w:rPr>
          <w:rFonts w:ascii="宋体" w:hAnsi="宋体"/>
          <w:b/>
          <w:bCs/>
          <w:sz w:val="28"/>
          <w:szCs w:val="28"/>
        </w:rPr>
      </w:pPr>
      <w:bookmarkStart w:id="682" w:name="_Hlk112011287"/>
      <w:r>
        <w:rPr>
          <w:rFonts w:hint="eastAsia" w:ascii="宋体" w:hAnsi="宋体"/>
          <w:b/>
          <w:bCs/>
          <w:sz w:val="28"/>
          <w:szCs w:val="28"/>
        </w:rPr>
        <w:t>询问函</w:t>
      </w:r>
    </w:p>
    <w:p>
      <w:pPr>
        <w:rPr>
          <w:rFonts w:ascii="宋体" w:hAnsi="宋体"/>
          <w:szCs w:val="21"/>
        </w:rPr>
      </w:pPr>
      <w:r>
        <w:rPr>
          <w:rFonts w:hint="eastAsia" w:ascii="宋体" w:hAnsi="宋体"/>
          <w:szCs w:val="21"/>
        </w:rPr>
        <w:t>广东达禾工程管理有限公司：</w:t>
      </w:r>
    </w:p>
    <w:p>
      <w:pPr>
        <w:ind w:firstLine="420" w:firstLineChars="200"/>
        <w:rPr>
          <w:rFonts w:ascii="宋体" w:hAnsi="宋体"/>
          <w:szCs w:val="21"/>
        </w:rPr>
      </w:pPr>
      <w:r>
        <w:rPr>
          <w:rFonts w:hint="eastAsia" w:ascii="宋体" w:hAnsi="宋体"/>
          <w:szCs w:val="21"/>
        </w:rPr>
        <w:t>我单位准备参与</w:t>
      </w:r>
      <w:r>
        <w:rPr>
          <w:rFonts w:hint="eastAsia" w:ascii="宋体" w:hAnsi="宋体"/>
          <w:szCs w:val="21"/>
          <w:u w:val="single"/>
        </w:rPr>
        <w:t>（项目名称）</w:t>
      </w:r>
      <w:r>
        <w:rPr>
          <w:rFonts w:ascii="宋体" w:hAnsi="宋体"/>
          <w:szCs w:val="21"/>
        </w:rPr>
        <w:t>（项目编</w:t>
      </w:r>
      <w:r>
        <w:rPr>
          <w:rFonts w:hint="eastAsia" w:ascii="宋体" w:hAnsi="宋体"/>
          <w:szCs w:val="21"/>
        </w:rPr>
        <w:t>号：</w:t>
      </w:r>
      <w:r>
        <w:rPr>
          <w:rFonts w:ascii="宋体" w:hAnsi="宋体"/>
          <w:szCs w:val="21"/>
        </w:rPr>
        <w:t>）</w:t>
      </w:r>
      <w:r>
        <w:rPr>
          <w:rFonts w:hint="eastAsia" w:ascii="宋体" w:hAnsi="宋体"/>
          <w:szCs w:val="21"/>
        </w:rPr>
        <w:t>的采购活动，现有以下几个内容（或条款）存在疑问（或无法理解），特提出询问。</w:t>
      </w:r>
    </w:p>
    <w:p>
      <w:pPr>
        <w:pStyle w:val="48"/>
        <w:spacing w:after="0" w:line="360" w:lineRule="auto"/>
        <w:ind w:left="0" w:leftChars="0"/>
        <w:rPr>
          <w:rFonts w:ascii="宋体" w:hAnsi="宋体"/>
          <w:szCs w:val="21"/>
        </w:rPr>
      </w:pPr>
      <w:r>
        <w:rPr>
          <w:rFonts w:hint="eastAsia" w:ascii="宋体" w:hAnsi="宋体"/>
          <w:szCs w:val="21"/>
        </w:rPr>
        <w:t>一、</w:t>
      </w:r>
      <w:r>
        <w:rPr>
          <w:rFonts w:ascii="宋体" w:hAnsi="宋体"/>
          <w:szCs w:val="21"/>
        </w:rPr>
        <w:t>（事项一）</w:t>
      </w:r>
    </w:p>
    <w:p>
      <w:pPr>
        <w:pStyle w:val="48"/>
        <w:spacing w:after="0" w:line="360" w:lineRule="auto"/>
        <w:ind w:left="0" w:leftChars="0"/>
        <w:rPr>
          <w:rFonts w:ascii="宋体" w:hAnsi="宋体"/>
          <w:szCs w:val="21"/>
        </w:rPr>
      </w:pPr>
      <w:r>
        <w:rPr>
          <w:rFonts w:hint="eastAsia" w:ascii="宋体" w:hAnsi="宋体"/>
          <w:szCs w:val="21"/>
        </w:rPr>
        <w:t>（1）</w:t>
      </w:r>
      <w:bookmarkStart w:id="683" w:name="_Hlk104040459"/>
      <w:bookmarkEnd w:id="683"/>
      <w:r>
        <w:rPr>
          <w:rFonts w:ascii="宋体" w:hAnsi="宋体"/>
          <w:szCs w:val="21"/>
        </w:rPr>
        <w:t>（问题或条款内容）</w:t>
      </w:r>
    </w:p>
    <w:p>
      <w:pPr>
        <w:pStyle w:val="48"/>
        <w:spacing w:after="0" w:line="360" w:lineRule="auto"/>
        <w:ind w:left="0" w:leftChars="0"/>
        <w:rPr>
          <w:rFonts w:ascii="宋体" w:hAnsi="宋体"/>
          <w:szCs w:val="21"/>
        </w:rPr>
      </w:pPr>
      <w:r>
        <w:rPr>
          <w:rFonts w:hint="eastAsia" w:ascii="宋体" w:hAnsi="宋体"/>
          <w:szCs w:val="21"/>
        </w:rPr>
        <w:t>（</w:t>
      </w:r>
      <w:r>
        <w:rPr>
          <w:rFonts w:ascii="宋体" w:hAnsi="宋体"/>
          <w:szCs w:val="21"/>
        </w:rPr>
        <w:t>2</w:t>
      </w:r>
      <w:r>
        <w:rPr>
          <w:rFonts w:hint="eastAsia" w:ascii="宋体" w:hAnsi="宋体"/>
          <w:szCs w:val="21"/>
        </w:rPr>
        <w:t>）</w:t>
      </w:r>
      <w:r>
        <w:rPr>
          <w:rFonts w:ascii="宋体" w:hAnsi="宋体"/>
          <w:szCs w:val="21"/>
        </w:rPr>
        <w:t>（说明疑问或无法理解原因）</w:t>
      </w:r>
    </w:p>
    <w:p>
      <w:pPr>
        <w:pStyle w:val="48"/>
        <w:spacing w:after="0" w:line="360" w:lineRule="auto"/>
        <w:ind w:left="0" w:leftChars="0"/>
        <w:rPr>
          <w:rFonts w:ascii="宋体" w:hAnsi="宋体"/>
          <w:szCs w:val="21"/>
        </w:rPr>
      </w:pPr>
      <w:r>
        <w:rPr>
          <w:rFonts w:hint="eastAsia" w:ascii="宋体" w:hAnsi="宋体"/>
          <w:szCs w:val="21"/>
        </w:rPr>
        <w:t>（</w:t>
      </w:r>
      <w:r>
        <w:rPr>
          <w:rFonts w:ascii="宋体" w:hAnsi="宋体"/>
          <w:szCs w:val="21"/>
        </w:rPr>
        <w:t>3</w:t>
      </w:r>
      <w:r>
        <w:rPr>
          <w:rFonts w:hint="eastAsia" w:ascii="宋体" w:hAnsi="宋体"/>
          <w:szCs w:val="21"/>
        </w:rPr>
        <w:t>）</w:t>
      </w:r>
      <w:r>
        <w:rPr>
          <w:rFonts w:ascii="宋体" w:hAnsi="宋体"/>
          <w:szCs w:val="21"/>
        </w:rPr>
        <w:t xml:space="preserve">（建议） </w:t>
      </w:r>
    </w:p>
    <w:p>
      <w:pPr>
        <w:pStyle w:val="48"/>
        <w:spacing w:after="0" w:line="360" w:lineRule="auto"/>
        <w:ind w:left="0" w:leftChars="0"/>
        <w:rPr>
          <w:rFonts w:ascii="宋体" w:hAnsi="宋体"/>
          <w:szCs w:val="21"/>
        </w:rPr>
      </w:pPr>
      <w:r>
        <w:rPr>
          <w:rFonts w:ascii="宋体" w:hAnsi="宋体"/>
          <w:szCs w:val="21"/>
        </w:rPr>
        <w:t>二、（事项二）</w:t>
      </w:r>
    </w:p>
    <w:p>
      <w:pPr>
        <w:pStyle w:val="48"/>
        <w:spacing w:after="0" w:line="360" w:lineRule="auto"/>
        <w:ind w:left="0" w:leftChars="0"/>
        <w:rPr>
          <w:rFonts w:ascii="宋体" w:hAnsi="宋体"/>
          <w:szCs w:val="21"/>
        </w:rPr>
      </w:pPr>
      <w:r>
        <w:rPr>
          <w:rFonts w:ascii="宋体" w:hAnsi="宋体"/>
          <w:szCs w:val="21"/>
        </w:rPr>
        <w:t>...</w:t>
      </w:r>
    </w:p>
    <w:p>
      <w:pPr>
        <w:pStyle w:val="48"/>
        <w:spacing w:after="0" w:line="360" w:lineRule="auto"/>
        <w:ind w:left="0" w:leftChars="0"/>
        <w:rPr>
          <w:rFonts w:ascii="宋体" w:hAnsi="宋体"/>
          <w:szCs w:val="21"/>
        </w:rPr>
      </w:pPr>
      <w:r>
        <w:rPr>
          <w:rFonts w:hint="eastAsia" w:ascii="宋体" w:hAnsi="宋体"/>
          <w:szCs w:val="21"/>
        </w:rPr>
        <w:t>随附相关证明材料如下：（目录）</w:t>
      </w:r>
    </w:p>
    <w:p>
      <w:pPr>
        <w:pStyle w:val="21"/>
        <w:rPr>
          <w:rFonts w:ascii="宋体" w:hAnsi="宋体"/>
          <w:szCs w:val="21"/>
        </w:rPr>
      </w:pPr>
    </w:p>
    <w:p>
      <w:pPr>
        <w:pStyle w:val="21"/>
        <w:rPr>
          <w:rFonts w:ascii="宋体" w:hAnsi="宋体"/>
          <w:szCs w:val="21"/>
        </w:rPr>
      </w:pPr>
    </w:p>
    <w:p>
      <w:pPr>
        <w:jc w:val="right"/>
        <w:rPr>
          <w:rFonts w:ascii="宋体" w:hAnsi="宋体"/>
          <w:szCs w:val="21"/>
        </w:rPr>
      </w:pPr>
      <w:r>
        <w:rPr>
          <w:rFonts w:hint="eastAsia" w:ascii="宋体" w:hAnsi="宋体"/>
          <w:szCs w:val="21"/>
        </w:rPr>
        <w:t>询问人（公章）：</w:t>
      </w:r>
      <w:r>
        <w:rPr>
          <w:rFonts w:ascii="宋体" w:hAnsi="宋体" w:cs="仿宋"/>
          <w:szCs w:val="21"/>
          <w:u w:val="dotted"/>
        </w:rPr>
        <w:t>.</w:t>
      </w:r>
    </w:p>
    <w:p>
      <w:pPr>
        <w:jc w:val="right"/>
        <w:rPr>
          <w:rFonts w:ascii="宋体" w:hAnsi="宋体"/>
          <w:szCs w:val="21"/>
        </w:rPr>
      </w:pPr>
      <w:r>
        <w:rPr>
          <w:rFonts w:hint="eastAsia" w:ascii="宋体" w:hAnsi="宋体"/>
          <w:szCs w:val="21"/>
        </w:rPr>
        <w:t>法定代表人或其授权代表（签字或盖章）：</w:t>
      </w:r>
      <w:r>
        <w:rPr>
          <w:rFonts w:ascii="宋体" w:hAnsi="宋体" w:cs="仿宋"/>
          <w:szCs w:val="21"/>
          <w:u w:val="dotted"/>
        </w:rPr>
        <w:t>.</w:t>
      </w:r>
    </w:p>
    <w:p>
      <w:pPr>
        <w:jc w:val="right"/>
        <w:rPr>
          <w:rFonts w:ascii="宋体" w:hAnsi="宋体"/>
          <w:szCs w:val="21"/>
        </w:rPr>
      </w:pPr>
      <w:r>
        <w:rPr>
          <w:rFonts w:hint="eastAsia" w:ascii="宋体" w:hAnsi="宋体"/>
          <w:szCs w:val="21"/>
        </w:rPr>
        <w:t>地址/邮编：</w:t>
      </w:r>
      <w:r>
        <w:rPr>
          <w:rFonts w:ascii="宋体" w:hAnsi="宋体" w:cs="仿宋"/>
          <w:szCs w:val="21"/>
          <w:u w:val="dotted"/>
        </w:rPr>
        <w:t>.</w:t>
      </w:r>
    </w:p>
    <w:p>
      <w:pPr>
        <w:jc w:val="right"/>
        <w:rPr>
          <w:rFonts w:ascii="宋体" w:hAnsi="宋体"/>
          <w:szCs w:val="21"/>
        </w:rPr>
      </w:pPr>
      <w:r>
        <w:rPr>
          <w:rFonts w:hint="eastAsia" w:ascii="宋体" w:hAnsi="宋体"/>
          <w:szCs w:val="21"/>
        </w:rPr>
        <w:t>电话/传真：</w:t>
      </w:r>
      <w:r>
        <w:rPr>
          <w:rFonts w:ascii="宋体" w:hAnsi="宋体" w:cs="仿宋"/>
          <w:szCs w:val="21"/>
          <w:u w:val="dotted"/>
        </w:rPr>
        <w:t>.</w:t>
      </w:r>
    </w:p>
    <w:p>
      <w:pPr>
        <w:jc w:val="right"/>
        <w:rPr>
          <w:rFonts w:ascii="宋体" w:hAnsi="宋体"/>
          <w:szCs w:val="21"/>
        </w:rPr>
      </w:pPr>
      <w:r>
        <w:rPr>
          <w:rFonts w:hint="eastAsia" w:ascii="宋体" w:hAnsi="宋体" w:cs="仿宋"/>
          <w:szCs w:val="21"/>
        </w:rPr>
        <w:t>日期：</w:t>
      </w:r>
      <w:r>
        <w:rPr>
          <w:rFonts w:hint="eastAsia" w:ascii="宋体" w:hAnsi="宋体"/>
          <w:szCs w:val="21"/>
        </w:rPr>
        <w:t>年月日</w:t>
      </w:r>
    </w:p>
    <w:p>
      <w:pPr>
        <w:rPr>
          <w:rFonts w:ascii="宋体" w:hAnsi="宋体"/>
          <w:szCs w:val="21"/>
        </w:rPr>
      </w:pPr>
      <w:r>
        <w:rPr>
          <w:rFonts w:ascii="宋体" w:hAnsi="宋体"/>
          <w:szCs w:val="21"/>
        </w:rPr>
        <w:br w:type="page"/>
      </w:r>
    </w:p>
    <w:p>
      <w:pPr>
        <w:jc w:val="center"/>
        <w:rPr>
          <w:rFonts w:ascii="宋体" w:hAnsi="宋体"/>
          <w:b/>
          <w:bCs/>
          <w:sz w:val="28"/>
          <w:szCs w:val="28"/>
        </w:rPr>
      </w:pPr>
      <w:r>
        <w:rPr>
          <w:rFonts w:hint="eastAsia" w:ascii="宋体" w:hAnsi="宋体"/>
          <w:b/>
          <w:bCs/>
          <w:sz w:val="28"/>
          <w:szCs w:val="28"/>
        </w:rPr>
        <w:t>质疑函</w:t>
      </w:r>
    </w:p>
    <w:p>
      <w:pPr>
        <w:pStyle w:val="129"/>
        <w:numPr>
          <w:ilvl w:val="2"/>
          <w:numId w:val="20"/>
        </w:numPr>
        <w:adjustRightInd w:val="0"/>
        <w:snapToGrid w:val="0"/>
        <w:ind w:left="0" w:firstLine="0"/>
        <w:rPr>
          <w:rFonts w:ascii="宋体" w:hAnsi="宋体" w:cs="仿宋"/>
          <w:b/>
          <w:szCs w:val="21"/>
        </w:rPr>
      </w:pPr>
      <w:r>
        <w:rPr>
          <w:rFonts w:hint="eastAsia" w:ascii="宋体" w:hAnsi="宋体" w:cs="仿宋"/>
          <w:b/>
          <w:szCs w:val="21"/>
        </w:rPr>
        <w:t>质疑供应商基本信息</w:t>
      </w:r>
    </w:p>
    <w:p>
      <w:pPr>
        <w:adjustRightInd w:val="0"/>
        <w:snapToGrid w:val="0"/>
        <w:rPr>
          <w:rFonts w:ascii="宋体" w:hAnsi="宋体" w:cs="仿宋"/>
          <w:szCs w:val="21"/>
          <w:u w:val="dotted"/>
        </w:rPr>
      </w:pPr>
      <w:r>
        <w:rPr>
          <w:rFonts w:hint="eastAsia" w:ascii="宋体" w:hAnsi="宋体" w:cs="仿宋"/>
          <w:szCs w:val="21"/>
        </w:rPr>
        <w:t>质疑供应商：</w:t>
      </w:r>
    </w:p>
    <w:p>
      <w:pPr>
        <w:adjustRightInd w:val="0"/>
        <w:snapToGrid w:val="0"/>
        <w:rPr>
          <w:rFonts w:ascii="宋体" w:hAnsi="宋体" w:cs="仿宋"/>
          <w:szCs w:val="21"/>
        </w:rPr>
      </w:pPr>
      <w:r>
        <w:rPr>
          <w:rFonts w:hint="eastAsia" w:ascii="宋体" w:hAnsi="宋体" w:cs="仿宋"/>
          <w:szCs w:val="21"/>
        </w:rPr>
        <w:t>地址：邮编：</w:t>
      </w:r>
    </w:p>
    <w:p>
      <w:pPr>
        <w:adjustRightInd w:val="0"/>
        <w:snapToGrid w:val="0"/>
        <w:rPr>
          <w:rFonts w:ascii="宋体" w:hAnsi="宋体" w:cs="仿宋"/>
          <w:szCs w:val="21"/>
        </w:rPr>
      </w:pPr>
      <w:r>
        <w:rPr>
          <w:rFonts w:hint="eastAsia" w:ascii="宋体" w:hAnsi="宋体" w:cs="仿宋"/>
          <w:szCs w:val="21"/>
        </w:rPr>
        <w:t>联系人：联系电话：</w:t>
      </w:r>
    </w:p>
    <w:p>
      <w:pPr>
        <w:adjustRightInd w:val="0"/>
        <w:snapToGrid w:val="0"/>
        <w:rPr>
          <w:rFonts w:ascii="宋体" w:hAnsi="宋体" w:cs="仿宋"/>
          <w:szCs w:val="21"/>
          <w:u w:val="dotted"/>
        </w:rPr>
      </w:pPr>
      <w:r>
        <w:rPr>
          <w:rFonts w:hint="eastAsia" w:ascii="宋体" w:hAnsi="宋体" w:cs="仿宋"/>
          <w:szCs w:val="21"/>
        </w:rPr>
        <w:t>授权代表：</w:t>
      </w:r>
    </w:p>
    <w:p>
      <w:pPr>
        <w:adjustRightInd w:val="0"/>
        <w:snapToGrid w:val="0"/>
        <w:rPr>
          <w:rFonts w:ascii="宋体" w:hAnsi="宋体" w:cs="仿宋"/>
          <w:szCs w:val="21"/>
        </w:rPr>
      </w:pPr>
      <w:r>
        <w:rPr>
          <w:rFonts w:hint="eastAsia" w:ascii="宋体" w:hAnsi="宋体" w:cs="仿宋"/>
          <w:szCs w:val="21"/>
        </w:rPr>
        <w:t>联系电话：</w:t>
      </w:r>
    </w:p>
    <w:p>
      <w:pPr>
        <w:adjustRightInd w:val="0"/>
        <w:snapToGrid w:val="0"/>
        <w:rPr>
          <w:rFonts w:ascii="宋体" w:hAnsi="宋体" w:cs="仿宋"/>
          <w:szCs w:val="21"/>
        </w:rPr>
      </w:pPr>
      <w:r>
        <w:rPr>
          <w:rFonts w:hint="eastAsia" w:ascii="宋体" w:hAnsi="宋体" w:cs="仿宋"/>
          <w:szCs w:val="21"/>
        </w:rPr>
        <w:t>地址：邮编：</w:t>
      </w:r>
    </w:p>
    <w:p>
      <w:pPr>
        <w:pStyle w:val="129"/>
        <w:numPr>
          <w:ilvl w:val="2"/>
          <w:numId w:val="20"/>
        </w:numPr>
        <w:adjustRightInd w:val="0"/>
        <w:snapToGrid w:val="0"/>
        <w:ind w:left="0" w:firstLine="0"/>
        <w:rPr>
          <w:rFonts w:ascii="宋体" w:hAnsi="宋体" w:cs="仿宋"/>
          <w:b/>
          <w:szCs w:val="21"/>
        </w:rPr>
      </w:pPr>
      <w:r>
        <w:rPr>
          <w:rFonts w:hint="eastAsia" w:ascii="宋体" w:hAnsi="宋体" w:cs="仿宋"/>
          <w:b/>
          <w:szCs w:val="21"/>
        </w:rPr>
        <w:t>质疑项目基本情况</w:t>
      </w:r>
    </w:p>
    <w:p>
      <w:pPr>
        <w:adjustRightInd w:val="0"/>
        <w:snapToGrid w:val="0"/>
        <w:rPr>
          <w:rFonts w:ascii="宋体" w:hAnsi="宋体" w:cs="仿宋"/>
          <w:szCs w:val="21"/>
        </w:rPr>
      </w:pPr>
      <w:r>
        <w:rPr>
          <w:rFonts w:hint="eastAsia" w:ascii="宋体" w:hAnsi="宋体" w:cs="仿宋"/>
          <w:szCs w:val="21"/>
        </w:rPr>
        <w:t>质疑项目的名称：</w:t>
      </w:r>
    </w:p>
    <w:p>
      <w:pPr>
        <w:adjustRightInd w:val="0"/>
        <w:snapToGrid w:val="0"/>
        <w:rPr>
          <w:rFonts w:ascii="宋体" w:hAnsi="宋体" w:cs="仿宋"/>
          <w:szCs w:val="21"/>
        </w:rPr>
      </w:pPr>
      <w:r>
        <w:rPr>
          <w:rFonts w:hint="eastAsia" w:ascii="宋体" w:hAnsi="宋体" w:cs="仿宋"/>
          <w:szCs w:val="21"/>
        </w:rPr>
        <w:t>质疑项目的编号：包号：</w:t>
      </w:r>
    </w:p>
    <w:p>
      <w:pPr>
        <w:adjustRightInd w:val="0"/>
        <w:snapToGrid w:val="0"/>
        <w:rPr>
          <w:rFonts w:ascii="宋体" w:hAnsi="宋体" w:cs="仿宋"/>
          <w:szCs w:val="21"/>
          <w:u w:val="dotted"/>
        </w:rPr>
      </w:pPr>
      <w:r>
        <w:rPr>
          <w:rFonts w:hint="eastAsia" w:ascii="宋体" w:hAnsi="宋体" w:cs="仿宋"/>
          <w:szCs w:val="21"/>
        </w:rPr>
        <w:t>采购人名称：</w:t>
      </w:r>
    </w:p>
    <w:p>
      <w:pPr>
        <w:adjustRightInd w:val="0"/>
        <w:snapToGrid w:val="0"/>
        <w:rPr>
          <w:rFonts w:ascii="宋体" w:hAnsi="宋体" w:cs="仿宋"/>
          <w:szCs w:val="21"/>
        </w:rPr>
      </w:pPr>
      <w:r>
        <w:rPr>
          <w:rFonts w:hint="eastAsia" w:ascii="宋体" w:hAnsi="宋体" w:cs="仿宋"/>
          <w:szCs w:val="21"/>
        </w:rPr>
        <w:t>采购文件获取日期：</w:t>
      </w:r>
    </w:p>
    <w:p>
      <w:pPr>
        <w:pStyle w:val="129"/>
        <w:numPr>
          <w:ilvl w:val="2"/>
          <w:numId w:val="20"/>
        </w:numPr>
        <w:adjustRightInd w:val="0"/>
        <w:snapToGrid w:val="0"/>
        <w:ind w:left="0" w:firstLine="0"/>
        <w:rPr>
          <w:rFonts w:ascii="宋体" w:hAnsi="宋体" w:cs="仿宋"/>
          <w:b/>
          <w:szCs w:val="21"/>
        </w:rPr>
      </w:pPr>
      <w:r>
        <w:rPr>
          <w:rFonts w:hint="eastAsia" w:ascii="宋体" w:hAnsi="宋体" w:cs="仿宋"/>
          <w:b/>
          <w:szCs w:val="21"/>
        </w:rPr>
        <w:t>质疑事项具体内容</w:t>
      </w:r>
    </w:p>
    <w:p>
      <w:pPr>
        <w:adjustRightInd w:val="0"/>
        <w:snapToGrid w:val="0"/>
        <w:rPr>
          <w:rFonts w:ascii="宋体" w:hAnsi="宋体" w:cs="仿宋"/>
          <w:szCs w:val="21"/>
          <w:u w:val="dotted"/>
        </w:rPr>
      </w:pPr>
      <w:r>
        <w:rPr>
          <w:rFonts w:hint="eastAsia" w:ascii="宋体" w:hAnsi="宋体" w:cs="仿宋"/>
          <w:szCs w:val="21"/>
        </w:rPr>
        <w:t>质疑事项1：</w:t>
      </w:r>
    </w:p>
    <w:p>
      <w:pPr>
        <w:adjustRightInd w:val="0"/>
        <w:snapToGrid w:val="0"/>
        <w:rPr>
          <w:rFonts w:ascii="宋体" w:hAnsi="宋体" w:cs="仿宋"/>
          <w:szCs w:val="21"/>
          <w:u w:val="dotted"/>
        </w:rPr>
      </w:pPr>
      <w:r>
        <w:rPr>
          <w:rFonts w:hint="eastAsia" w:ascii="宋体" w:hAnsi="宋体" w:cs="仿宋"/>
          <w:szCs w:val="21"/>
        </w:rPr>
        <w:t>事实依据：</w:t>
      </w:r>
    </w:p>
    <w:p>
      <w:pPr>
        <w:adjustRightInd w:val="0"/>
        <w:snapToGrid w:val="0"/>
        <w:rPr>
          <w:rFonts w:ascii="宋体" w:hAnsi="宋体" w:cs="仿宋"/>
          <w:szCs w:val="21"/>
          <w:u w:val="dotted"/>
        </w:rPr>
      </w:pPr>
      <w:r>
        <w:rPr>
          <w:rFonts w:hint="eastAsia" w:ascii="宋体" w:hAnsi="宋体" w:cs="仿宋"/>
          <w:szCs w:val="21"/>
        </w:rPr>
        <w:t>法律依据：</w:t>
      </w:r>
    </w:p>
    <w:p>
      <w:pPr>
        <w:adjustRightInd w:val="0"/>
        <w:snapToGrid w:val="0"/>
        <w:rPr>
          <w:rFonts w:ascii="宋体" w:hAnsi="宋体" w:cs="仿宋"/>
          <w:szCs w:val="21"/>
          <w:u w:val="dotted"/>
        </w:rPr>
      </w:pPr>
      <w:r>
        <w:rPr>
          <w:rFonts w:hint="eastAsia" w:ascii="宋体" w:hAnsi="宋体" w:cs="仿宋"/>
          <w:szCs w:val="21"/>
        </w:rPr>
        <w:t>质疑事项2</w:t>
      </w:r>
    </w:p>
    <w:p>
      <w:pPr>
        <w:adjustRightInd w:val="0"/>
        <w:snapToGrid w:val="0"/>
        <w:rPr>
          <w:rFonts w:ascii="宋体" w:hAnsi="宋体" w:cs="仿宋"/>
          <w:szCs w:val="21"/>
        </w:rPr>
      </w:pPr>
      <w:r>
        <w:rPr>
          <w:rFonts w:hint="eastAsia" w:ascii="宋体" w:hAnsi="宋体" w:cs="仿宋"/>
          <w:szCs w:val="21"/>
        </w:rPr>
        <w:t>……</w:t>
      </w:r>
    </w:p>
    <w:p>
      <w:pPr>
        <w:pStyle w:val="129"/>
        <w:numPr>
          <w:ilvl w:val="2"/>
          <w:numId w:val="20"/>
        </w:numPr>
        <w:adjustRightInd w:val="0"/>
        <w:snapToGrid w:val="0"/>
        <w:ind w:left="0" w:firstLine="0"/>
        <w:rPr>
          <w:rFonts w:ascii="宋体" w:hAnsi="宋体" w:cs="仿宋"/>
          <w:b/>
          <w:szCs w:val="21"/>
        </w:rPr>
      </w:pPr>
      <w:r>
        <w:rPr>
          <w:rFonts w:hint="eastAsia" w:ascii="宋体" w:hAnsi="宋体" w:cs="仿宋"/>
          <w:b/>
          <w:szCs w:val="21"/>
        </w:rPr>
        <w:t>与质疑事项相关的质疑请求</w:t>
      </w:r>
    </w:p>
    <w:p>
      <w:pPr>
        <w:adjustRightInd w:val="0"/>
        <w:snapToGrid w:val="0"/>
        <w:rPr>
          <w:rFonts w:ascii="宋体" w:hAnsi="宋体" w:cs="仿宋"/>
          <w:szCs w:val="21"/>
          <w:u w:val="dotted"/>
        </w:rPr>
      </w:pPr>
      <w:r>
        <w:rPr>
          <w:rFonts w:hint="eastAsia" w:ascii="宋体" w:hAnsi="宋体" w:cs="仿宋"/>
          <w:szCs w:val="21"/>
        </w:rPr>
        <w:t>请求：</w:t>
      </w:r>
    </w:p>
    <w:p>
      <w:pPr>
        <w:rPr>
          <w:rFonts w:ascii="宋体" w:hAnsi="宋体"/>
          <w:szCs w:val="21"/>
        </w:rPr>
      </w:pPr>
    </w:p>
    <w:p>
      <w:pPr>
        <w:jc w:val="right"/>
        <w:rPr>
          <w:rFonts w:ascii="宋体" w:hAnsi="宋体"/>
          <w:szCs w:val="21"/>
        </w:rPr>
      </w:pPr>
      <w:r>
        <w:rPr>
          <w:rFonts w:hint="eastAsia" w:ascii="宋体" w:hAnsi="宋体"/>
          <w:szCs w:val="21"/>
        </w:rPr>
        <w:t>签字（签章）：公章：</w:t>
      </w:r>
      <w:r>
        <w:rPr>
          <w:rFonts w:ascii="宋体" w:hAnsi="宋体" w:cs="仿宋"/>
          <w:szCs w:val="21"/>
          <w:u w:val="dotted"/>
        </w:rPr>
        <w:t>.</w:t>
      </w:r>
    </w:p>
    <w:p>
      <w:pPr>
        <w:jc w:val="right"/>
        <w:rPr>
          <w:rFonts w:ascii="宋体" w:hAnsi="宋体" w:cs="仿宋"/>
          <w:szCs w:val="21"/>
          <w:u w:val="dotted"/>
        </w:rPr>
      </w:pPr>
      <w:r>
        <w:rPr>
          <w:rFonts w:hint="eastAsia" w:ascii="宋体" w:hAnsi="宋体"/>
          <w:szCs w:val="21"/>
        </w:rPr>
        <w:t>日期：年月日</w:t>
      </w:r>
    </w:p>
    <w:p>
      <w:pPr>
        <w:pStyle w:val="48"/>
        <w:rPr>
          <w:rFonts w:ascii="宋体" w:hAnsi="宋体"/>
        </w:rPr>
      </w:pPr>
    </w:p>
    <w:p>
      <w:pPr>
        <w:spacing w:line="300" w:lineRule="exact"/>
        <w:rPr>
          <w:rFonts w:ascii="宋体" w:hAnsi="宋体"/>
          <w:szCs w:val="21"/>
        </w:rPr>
      </w:pPr>
      <w:r>
        <w:rPr>
          <w:rFonts w:hint="eastAsia" w:ascii="宋体" w:hAnsi="宋体"/>
          <w:szCs w:val="21"/>
        </w:rPr>
        <w:t>质疑函制作说明：</w:t>
      </w:r>
    </w:p>
    <w:p>
      <w:pPr>
        <w:spacing w:line="240" w:lineRule="auto"/>
        <w:ind w:firstLine="420" w:firstLineChars="200"/>
        <w:rPr>
          <w:rFonts w:ascii="宋体" w:hAnsi="宋体"/>
          <w:szCs w:val="21"/>
        </w:rPr>
      </w:pPr>
      <w:r>
        <w:rPr>
          <w:rFonts w:ascii="宋体" w:hAnsi="宋体"/>
          <w:szCs w:val="21"/>
        </w:rPr>
        <w:t>1.</w:t>
      </w:r>
      <w:r>
        <w:rPr>
          <w:rFonts w:hint="eastAsia" w:ascii="宋体" w:hAnsi="宋体"/>
          <w:szCs w:val="21"/>
        </w:rPr>
        <w:t>供应商提出质疑时，应提交质疑函和必要的证明材料。</w:t>
      </w:r>
    </w:p>
    <w:p>
      <w:pPr>
        <w:spacing w:line="240" w:lineRule="auto"/>
        <w:ind w:firstLine="420" w:firstLineChars="200"/>
        <w:rPr>
          <w:rFonts w:ascii="宋体" w:hAnsi="宋体"/>
          <w:szCs w:val="21"/>
        </w:rPr>
      </w:pPr>
      <w:r>
        <w:rPr>
          <w:rFonts w:ascii="宋体" w:hAnsi="宋体"/>
          <w:szCs w:val="21"/>
        </w:rPr>
        <w:t>2.</w:t>
      </w:r>
      <w:r>
        <w:rPr>
          <w:rFonts w:hint="eastAsia" w:ascii="宋体" w:hAnsi="宋体"/>
          <w:szCs w:val="21"/>
        </w:rPr>
        <w:t>质疑供应商若委托代理人进行质疑的，质疑函应按要求列明</w:t>
      </w:r>
      <w:r>
        <w:rPr>
          <w:rFonts w:ascii="宋体" w:hAnsi="宋体"/>
          <w:szCs w:val="21"/>
        </w:rPr>
        <w:t>“</w:t>
      </w:r>
      <w:r>
        <w:rPr>
          <w:rFonts w:hint="eastAsia" w:ascii="宋体" w:hAnsi="宋体"/>
          <w:szCs w:val="21"/>
        </w:rPr>
        <w:t>授权代表</w:t>
      </w:r>
      <w:r>
        <w:rPr>
          <w:rFonts w:ascii="宋体" w:hAnsi="宋体"/>
          <w:szCs w:val="21"/>
        </w:rPr>
        <w:t>”</w:t>
      </w:r>
      <w:r>
        <w:rPr>
          <w:rFonts w:hint="eastAsia" w:ascii="宋体" w:hAnsi="宋体"/>
          <w:szCs w:val="21"/>
        </w:rPr>
        <w:t>的有关内容，并在附件中提交由质疑供应商签署的授权委托书。授权委托书应载明代理人的姓名或者名称、代理事项、具体权限、期限和相关事项。</w:t>
      </w:r>
    </w:p>
    <w:p>
      <w:pPr>
        <w:spacing w:line="240" w:lineRule="auto"/>
        <w:ind w:firstLine="420" w:firstLineChars="200"/>
        <w:rPr>
          <w:rFonts w:ascii="宋体" w:hAnsi="宋体"/>
          <w:szCs w:val="21"/>
        </w:rPr>
      </w:pPr>
      <w:r>
        <w:rPr>
          <w:rFonts w:ascii="宋体" w:hAnsi="宋体"/>
          <w:szCs w:val="21"/>
        </w:rPr>
        <w:t>3.</w:t>
      </w:r>
      <w:r>
        <w:rPr>
          <w:rFonts w:hint="eastAsia" w:ascii="宋体" w:hAnsi="宋体"/>
          <w:szCs w:val="21"/>
        </w:rPr>
        <w:t>质疑供应商若对项目的某一分包进行质疑，质疑函中应列明具体分包号。</w:t>
      </w:r>
    </w:p>
    <w:p>
      <w:pPr>
        <w:spacing w:line="240" w:lineRule="auto"/>
        <w:ind w:firstLine="420" w:firstLineChars="200"/>
        <w:rPr>
          <w:rFonts w:ascii="宋体" w:hAnsi="宋体"/>
          <w:szCs w:val="21"/>
        </w:rPr>
      </w:pPr>
      <w:r>
        <w:rPr>
          <w:rFonts w:ascii="宋体" w:hAnsi="宋体"/>
          <w:szCs w:val="21"/>
        </w:rPr>
        <w:t>4.</w:t>
      </w:r>
      <w:r>
        <w:rPr>
          <w:rFonts w:hint="eastAsia" w:ascii="宋体" w:hAnsi="宋体"/>
          <w:szCs w:val="21"/>
        </w:rPr>
        <w:t>质疑函的质疑事项应具体、明确，并有必要的事实依据和法律依据。</w:t>
      </w:r>
    </w:p>
    <w:p>
      <w:pPr>
        <w:spacing w:line="240" w:lineRule="auto"/>
        <w:ind w:firstLine="420" w:firstLineChars="200"/>
        <w:rPr>
          <w:rFonts w:ascii="宋体" w:hAnsi="宋体"/>
          <w:szCs w:val="21"/>
        </w:rPr>
      </w:pPr>
      <w:r>
        <w:rPr>
          <w:rFonts w:ascii="宋体" w:hAnsi="宋体"/>
          <w:szCs w:val="21"/>
        </w:rPr>
        <w:t>5.</w:t>
      </w:r>
      <w:r>
        <w:rPr>
          <w:rFonts w:hint="eastAsia" w:ascii="宋体" w:hAnsi="宋体"/>
          <w:szCs w:val="21"/>
        </w:rPr>
        <w:t>质疑函的质疑请求应与质疑事项相关。</w:t>
      </w:r>
    </w:p>
    <w:p>
      <w:pPr>
        <w:spacing w:line="240" w:lineRule="auto"/>
        <w:ind w:firstLine="420" w:firstLineChars="200"/>
        <w:rPr>
          <w:rFonts w:ascii="宋体" w:hAnsi="宋体"/>
          <w:szCs w:val="21"/>
        </w:rPr>
      </w:pPr>
      <w:r>
        <w:rPr>
          <w:rFonts w:ascii="宋体" w:hAnsi="宋体"/>
          <w:szCs w:val="21"/>
        </w:rPr>
        <w:t>6.</w:t>
      </w:r>
      <w:r>
        <w:rPr>
          <w:rFonts w:hint="eastAsia" w:ascii="宋体" w:hAnsi="宋体"/>
          <w:szCs w:val="21"/>
        </w:rPr>
        <w:t>质疑供应商为自然人的，质疑函应由本人签字；质疑供应商为法人或者其他组织的，质疑函应由法定代表人、主要负责人，或者其授权代表签字或者盖章，并加盖公章。</w:t>
      </w:r>
    </w:p>
    <w:p>
      <w:pPr>
        <w:spacing w:line="240" w:lineRule="auto"/>
        <w:ind w:firstLine="420" w:firstLineChars="200"/>
        <w:rPr>
          <w:rFonts w:ascii="宋体" w:hAnsi="宋体"/>
          <w:szCs w:val="21"/>
        </w:rPr>
      </w:pPr>
      <w:bookmarkStart w:id="684" w:name="_Hlk104040558"/>
      <w:r>
        <w:rPr>
          <w:rFonts w:ascii="宋体" w:hAnsi="宋体"/>
          <w:szCs w:val="21"/>
        </w:rPr>
        <w:t>7.</w:t>
      </w:r>
      <w:r>
        <w:rPr>
          <w:rFonts w:hint="eastAsia" w:ascii="宋体" w:hAnsi="宋体"/>
          <w:szCs w:val="21"/>
        </w:rPr>
        <w:t>供应商应在提交的证明材料中对质疑点的内容作出相应的标识或以醒目的方式标明。</w:t>
      </w:r>
    </w:p>
    <w:bookmarkEnd w:id="684"/>
    <w:p>
      <w:pPr>
        <w:rPr>
          <w:rFonts w:ascii="宋体" w:hAnsi="宋体"/>
          <w:b/>
          <w:bCs/>
          <w:sz w:val="24"/>
        </w:rPr>
      </w:pPr>
      <w:r>
        <w:rPr>
          <w:rFonts w:ascii="宋体" w:hAnsi="宋体"/>
          <w:b/>
          <w:bCs/>
          <w:sz w:val="24"/>
        </w:rPr>
        <w:br w:type="page"/>
      </w:r>
    </w:p>
    <w:p>
      <w:pPr>
        <w:jc w:val="center"/>
        <w:rPr>
          <w:rFonts w:ascii="宋体" w:hAnsi="宋体"/>
          <w:b/>
          <w:bCs/>
          <w:sz w:val="28"/>
          <w:szCs w:val="28"/>
        </w:rPr>
      </w:pPr>
      <w:r>
        <w:rPr>
          <w:rFonts w:hint="eastAsia" w:ascii="宋体" w:hAnsi="宋体"/>
          <w:b/>
          <w:bCs/>
          <w:sz w:val="28"/>
          <w:szCs w:val="28"/>
        </w:rPr>
        <w:t>投诉书</w:t>
      </w:r>
    </w:p>
    <w:p>
      <w:pPr>
        <w:pStyle w:val="21"/>
        <w:numPr>
          <w:ilvl w:val="2"/>
          <w:numId w:val="21"/>
        </w:numPr>
        <w:ind w:left="0" w:firstLine="0"/>
        <w:rPr>
          <w:rFonts w:ascii="宋体" w:hAnsi="宋体"/>
          <w:b/>
          <w:bCs/>
          <w:szCs w:val="20"/>
        </w:rPr>
      </w:pPr>
      <w:r>
        <w:rPr>
          <w:rFonts w:hint="eastAsia" w:ascii="宋体" w:hAnsi="宋体"/>
          <w:b/>
          <w:bCs/>
          <w:szCs w:val="20"/>
        </w:rPr>
        <w:t>投诉相关主体基本情况</w:t>
      </w:r>
    </w:p>
    <w:p>
      <w:pPr>
        <w:pStyle w:val="21"/>
        <w:rPr>
          <w:rFonts w:ascii="宋体" w:hAnsi="宋体"/>
          <w:szCs w:val="20"/>
        </w:rPr>
      </w:pPr>
      <w:r>
        <w:rPr>
          <w:rFonts w:hint="eastAsia" w:ascii="宋体" w:hAnsi="宋体"/>
          <w:szCs w:val="20"/>
        </w:rPr>
        <w:t>投诉人：</w:t>
      </w:r>
    </w:p>
    <w:p>
      <w:pPr>
        <w:pStyle w:val="21"/>
        <w:rPr>
          <w:rFonts w:ascii="宋体" w:hAnsi="宋体"/>
          <w:szCs w:val="20"/>
        </w:rPr>
      </w:pPr>
      <w:r>
        <w:rPr>
          <w:rFonts w:hint="eastAsia" w:ascii="宋体" w:hAnsi="宋体"/>
          <w:szCs w:val="20"/>
        </w:rPr>
        <w:t>地 址：邮编：</w:t>
      </w:r>
    </w:p>
    <w:p>
      <w:pPr>
        <w:pStyle w:val="21"/>
        <w:rPr>
          <w:rFonts w:ascii="宋体" w:hAnsi="宋体"/>
          <w:szCs w:val="20"/>
        </w:rPr>
      </w:pPr>
      <w:r>
        <w:rPr>
          <w:rFonts w:hint="eastAsia" w:ascii="宋体" w:hAnsi="宋体"/>
          <w:szCs w:val="20"/>
        </w:rPr>
        <w:t>法定代表人/主要负责人：</w:t>
      </w:r>
    </w:p>
    <w:p>
      <w:pPr>
        <w:pStyle w:val="21"/>
        <w:rPr>
          <w:rFonts w:ascii="宋体" w:hAnsi="宋体"/>
          <w:szCs w:val="20"/>
        </w:rPr>
      </w:pPr>
      <w:r>
        <w:rPr>
          <w:rFonts w:hint="eastAsia" w:ascii="宋体" w:hAnsi="宋体"/>
          <w:szCs w:val="20"/>
        </w:rPr>
        <w:t>联系电话：</w:t>
      </w:r>
    </w:p>
    <w:p>
      <w:pPr>
        <w:pStyle w:val="21"/>
        <w:rPr>
          <w:rFonts w:ascii="宋体" w:hAnsi="宋体"/>
          <w:szCs w:val="20"/>
        </w:rPr>
      </w:pPr>
      <w:r>
        <w:rPr>
          <w:rFonts w:hint="eastAsia" w:ascii="宋体" w:hAnsi="宋体"/>
          <w:szCs w:val="20"/>
        </w:rPr>
        <w:t>授权代表：联系电话：</w:t>
      </w:r>
    </w:p>
    <w:p>
      <w:pPr>
        <w:pStyle w:val="21"/>
        <w:rPr>
          <w:rFonts w:ascii="宋体" w:hAnsi="宋体"/>
          <w:szCs w:val="20"/>
        </w:rPr>
      </w:pPr>
      <w:r>
        <w:rPr>
          <w:rFonts w:hint="eastAsia" w:ascii="宋体" w:hAnsi="宋体"/>
          <w:szCs w:val="20"/>
        </w:rPr>
        <w:t>地址：邮编：</w:t>
      </w:r>
    </w:p>
    <w:p>
      <w:pPr>
        <w:pStyle w:val="21"/>
        <w:rPr>
          <w:rFonts w:ascii="宋体" w:hAnsi="宋体"/>
          <w:szCs w:val="20"/>
        </w:rPr>
      </w:pPr>
      <w:r>
        <w:rPr>
          <w:rFonts w:hint="eastAsia" w:ascii="宋体" w:hAnsi="宋体"/>
          <w:szCs w:val="20"/>
        </w:rPr>
        <w:t>被投诉人1：</w:t>
      </w:r>
    </w:p>
    <w:p>
      <w:pPr>
        <w:pStyle w:val="21"/>
        <w:rPr>
          <w:rFonts w:ascii="宋体" w:hAnsi="宋体"/>
          <w:szCs w:val="20"/>
        </w:rPr>
      </w:pPr>
      <w:r>
        <w:rPr>
          <w:rFonts w:hint="eastAsia" w:ascii="宋体" w:hAnsi="宋体"/>
          <w:szCs w:val="20"/>
        </w:rPr>
        <w:t>地址：邮编：</w:t>
      </w:r>
    </w:p>
    <w:p>
      <w:pPr>
        <w:pStyle w:val="21"/>
        <w:rPr>
          <w:rFonts w:ascii="宋体" w:hAnsi="宋体"/>
          <w:szCs w:val="20"/>
        </w:rPr>
      </w:pPr>
      <w:r>
        <w:rPr>
          <w:rFonts w:hint="eastAsia" w:ascii="宋体" w:hAnsi="宋体"/>
          <w:szCs w:val="20"/>
        </w:rPr>
        <w:t>联系人：联系电话：</w:t>
      </w:r>
    </w:p>
    <w:p>
      <w:pPr>
        <w:pStyle w:val="21"/>
        <w:rPr>
          <w:rFonts w:ascii="宋体" w:hAnsi="宋体"/>
          <w:szCs w:val="20"/>
        </w:rPr>
      </w:pPr>
      <w:r>
        <w:rPr>
          <w:rFonts w:hint="eastAsia" w:ascii="宋体" w:hAnsi="宋体"/>
          <w:szCs w:val="20"/>
        </w:rPr>
        <w:t>被投诉人2：</w:t>
      </w:r>
    </w:p>
    <w:p>
      <w:pPr>
        <w:pStyle w:val="21"/>
        <w:rPr>
          <w:rFonts w:ascii="宋体" w:hAnsi="宋体"/>
          <w:szCs w:val="20"/>
        </w:rPr>
      </w:pPr>
      <w:r>
        <w:rPr>
          <w:rFonts w:hint="eastAsia" w:ascii="宋体" w:hAnsi="宋体"/>
          <w:szCs w:val="20"/>
        </w:rPr>
        <w:t>……</w:t>
      </w:r>
    </w:p>
    <w:p>
      <w:pPr>
        <w:pStyle w:val="21"/>
        <w:rPr>
          <w:rFonts w:ascii="宋体" w:hAnsi="宋体"/>
          <w:szCs w:val="20"/>
        </w:rPr>
      </w:pPr>
      <w:r>
        <w:rPr>
          <w:rFonts w:hint="eastAsia" w:ascii="宋体" w:hAnsi="宋体"/>
          <w:szCs w:val="20"/>
        </w:rPr>
        <w:t>相关供应商：</w:t>
      </w:r>
    </w:p>
    <w:p>
      <w:pPr>
        <w:pStyle w:val="21"/>
        <w:rPr>
          <w:rFonts w:ascii="宋体" w:hAnsi="宋体"/>
          <w:szCs w:val="20"/>
        </w:rPr>
      </w:pPr>
      <w:r>
        <w:rPr>
          <w:rFonts w:hint="eastAsia" w:ascii="宋体" w:hAnsi="宋体"/>
          <w:szCs w:val="20"/>
        </w:rPr>
        <w:t>地址：邮编：</w:t>
      </w:r>
    </w:p>
    <w:p>
      <w:pPr>
        <w:pStyle w:val="21"/>
        <w:rPr>
          <w:rFonts w:ascii="宋体" w:hAnsi="宋体" w:cs="仿宋"/>
          <w:szCs w:val="21"/>
          <w:u w:val="dotted"/>
        </w:rPr>
      </w:pPr>
      <w:r>
        <w:rPr>
          <w:rFonts w:hint="eastAsia" w:ascii="宋体" w:hAnsi="宋体"/>
          <w:szCs w:val="20"/>
        </w:rPr>
        <w:t>联系人：联系电话：</w:t>
      </w:r>
    </w:p>
    <w:p>
      <w:pPr>
        <w:pStyle w:val="21"/>
        <w:numPr>
          <w:ilvl w:val="2"/>
          <w:numId w:val="21"/>
        </w:numPr>
        <w:ind w:left="0" w:firstLine="0"/>
        <w:rPr>
          <w:rFonts w:ascii="宋体" w:hAnsi="宋体"/>
          <w:b/>
          <w:bCs/>
          <w:szCs w:val="20"/>
        </w:rPr>
      </w:pPr>
      <w:r>
        <w:rPr>
          <w:rFonts w:hint="eastAsia" w:ascii="宋体" w:hAnsi="宋体"/>
          <w:b/>
          <w:bCs/>
          <w:szCs w:val="20"/>
        </w:rPr>
        <w:t>投诉项目基本情况</w:t>
      </w:r>
    </w:p>
    <w:p>
      <w:pPr>
        <w:pStyle w:val="21"/>
        <w:rPr>
          <w:rFonts w:ascii="宋体" w:hAnsi="宋体"/>
          <w:szCs w:val="20"/>
        </w:rPr>
      </w:pPr>
      <w:r>
        <w:rPr>
          <w:rFonts w:hint="eastAsia" w:ascii="宋体" w:hAnsi="宋体"/>
          <w:szCs w:val="20"/>
        </w:rPr>
        <w:t>采购项目名称：</w:t>
      </w:r>
    </w:p>
    <w:p>
      <w:pPr>
        <w:pStyle w:val="21"/>
        <w:rPr>
          <w:rFonts w:ascii="宋体" w:hAnsi="宋体"/>
          <w:szCs w:val="20"/>
        </w:rPr>
      </w:pPr>
      <w:r>
        <w:rPr>
          <w:rFonts w:hint="eastAsia" w:ascii="宋体" w:hAnsi="宋体"/>
          <w:szCs w:val="20"/>
        </w:rPr>
        <w:t>采购项目编号：包号：</w:t>
      </w:r>
    </w:p>
    <w:p>
      <w:pPr>
        <w:pStyle w:val="21"/>
        <w:rPr>
          <w:rFonts w:ascii="宋体" w:hAnsi="宋体"/>
          <w:szCs w:val="20"/>
        </w:rPr>
      </w:pPr>
      <w:r>
        <w:rPr>
          <w:rFonts w:hint="eastAsia" w:ascii="宋体" w:hAnsi="宋体"/>
          <w:szCs w:val="20"/>
        </w:rPr>
        <w:t>采购人名称：</w:t>
      </w:r>
    </w:p>
    <w:p>
      <w:pPr>
        <w:pStyle w:val="21"/>
        <w:rPr>
          <w:rFonts w:ascii="宋体" w:hAnsi="宋体"/>
          <w:szCs w:val="20"/>
        </w:rPr>
      </w:pPr>
      <w:r>
        <w:rPr>
          <w:rFonts w:hint="eastAsia" w:ascii="宋体" w:hAnsi="宋体"/>
          <w:szCs w:val="20"/>
        </w:rPr>
        <w:t>代理机构名称：</w:t>
      </w:r>
    </w:p>
    <w:p>
      <w:pPr>
        <w:pStyle w:val="21"/>
        <w:rPr>
          <w:rFonts w:ascii="宋体" w:hAnsi="宋体"/>
          <w:szCs w:val="20"/>
        </w:rPr>
      </w:pPr>
      <w:r>
        <w:rPr>
          <w:rFonts w:hint="eastAsia" w:ascii="宋体" w:hAnsi="宋体"/>
          <w:szCs w:val="20"/>
        </w:rPr>
        <w:t>采购文件公告：</w:t>
      </w:r>
      <w:r>
        <w:rPr>
          <w:rFonts w:hint="eastAsia" w:ascii="宋体" w:hAnsi="宋体"/>
          <w:szCs w:val="20"/>
          <w:u w:val="single"/>
        </w:rPr>
        <w:t>是/否</w:t>
      </w:r>
      <w:r>
        <w:rPr>
          <w:rFonts w:hint="eastAsia" w:ascii="宋体" w:hAnsi="宋体"/>
          <w:szCs w:val="20"/>
        </w:rPr>
        <w:t xml:space="preserve"> 公告期限：</w:t>
      </w:r>
    </w:p>
    <w:p>
      <w:pPr>
        <w:pStyle w:val="21"/>
        <w:rPr>
          <w:rFonts w:ascii="宋体" w:hAnsi="宋体" w:cs="仿宋"/>
          <w:szCs w:val="21"/>
          <w:u w:val="dotted"/>
        </w:rPr>
      </w:pPr>
      <w:r>
        <w:rPr>
          <w:rFonts w:hint="eastAsia" w:ascii="宋体" w:hAnsi="宋体"/>
          <w:szCs w:val="20"/>
        </w:rPr>
        <w:t>采购结果公告：</w:t>
      </w:r>
      <w:r>
        <w:rPr>
          <w:rFonts w:hint="eastAsia" w:ascii="宋体" w:hAnsi="宋体"/>
          <w:szCs w:val="20"/>
          <w:u w:val="single"/>
        </w:rPr>
        <w:t>是/否</w:t>
      </w:r>
      <w:r>
        <w:rPr>
          <w:rFonts w:hint="eastAsia" w:ascii="宋体" w:hAnsi="宋体"/>
          <w:szCs w:val="20"/>
        </w:rPr>
        <w:t xml:space="preserve"> 公告期限：</w:t>
      </w:r>
    </w:p>
    <w:p>
      <w:pPr>
        <w:pStyle w:val="21"/>
        <w:numPr>
          <w:ilvl w:val="2"/>
          <w:numId w:val="21"/>
        </w:numPr>
        <w:ind w:left="0" w:firstLine="0"/>
        <w:rPr>
          <w:rFonts w:ascii="宋体" w:hAnsi="宋体"/>
          <w:b/>
          <w:bCs/>
          <w:szCs w:val="20"/>
        </w:rPr>
      </w:pPr>
      <w:r>
        <w:rPr>
          <w:rFonts w:hint="eastAsia" w:ascii="宋体" w:hAnsi="宋体"/>
          <w:b/>
          <w:bCs/>
          <w:szCs w:val="20"/>
        </w:rPr>
        <w:t>质疑基本情况</w:t>
      </w:r>
    </w:p>
    <w:p>
      <w:pPr>
        <w:pStyle w:val="21"/>
        <w:ind w:firstLine="420" w:firstLineChars="200"/>
        <w:rPr>
          <w:rFonts w:ascii="宋体" w:hAnsi="宋体"/>
          <w:szCs w:val="20"/>
        </w:rPr>
      </w:pPr>
      <w:r>
        <w:rPr>
          <w:rFonts w:hint="eastAsia" w:ascii="宋体" w:hAnsi="宋体"/>
          <w:szCs w:val="20"/>
        </w:rPr>
        <w:t>投诉人于 ____年____月____日,向提出质疑，质疑事项为：</w:t>
      </w:r>
    </w:p>
    <w:p>
      <w:pPr>
        <w:pStyle w:val="21"/>
        <w:ind w:firstLine="420" w:firstLineChars="200"/>
        <w:rPr>
          <w:rFonts w:ascii="宋体" w:hAnsi="宋体"/>
          <w:szCs w:val="20"/>
        </w:rPr>
      </w:pPr>
      <w:r>
        <w:rPr>
          <w:rFonts w:hint="eastAsia" w:ascii="宋体" w:hAnsi="宋体"/>
          <w:szCs w:val="20"/>
          <w:u w:val="single"/>
        </w:rPr>
        <w:t>采购人/代理机构</w:t>
      </w:r>
      <w:r>
        <w:rPr>
          <w:rFonts w:hint="eastAsia" w:ascii="宋体" w:hAnsi="宋体"/>
          <w:szCs w:val="20"/>
        </w:rPr>
        <w:t>于____年____月____日,就质疑事项作出了答复/没有在法定期限内作出答复。</w:t>
      </w:r>
    </w:p>
    <w:p>
      <w:pPr>
        <w:pStyle w:val="21"/>
        <w:numPr>
          <w:ilvl w:val="2"/>
          <w:numId w:val="21"/>
        </w:numPr>
        <w:ind w:left="0" w:firstLine="0"/>
        <w:rPr>
          <w:rFonts w:ascii="宋体" w:hAnsi="宋体"/>
          <w:b/>
          <w:bCs/>
          <w:szCs w:val="20"/>
        </w:rPr>
      </w:pPr>
      <w:r>
        <w:rPr>
          <w:rFonts w:hint="eastAsia" w:ascii="宋体" w:hAnsi="宋体"/>
          <w:b/>
          <w:bCs/>
          <w:szCs w:val="20"/>
        </w:rPr>
        <w:t>投诉事项具体内容</w:t>
      </w:r>
    </w:p>
    <w:p>
      <w:pPr>
        <w:pStyle w:val="21"/>
        <w:rPr>
          <w:rFonts w:ascii="宋体" w:hAnsi="宋体"/>
          <w:szCs w:val="20"/>
        </w:rPr>
      </w:pPr>
      <w:r>
        <w:rPr>
          <w:rFonts w:hint="eastAsia" w:ascii="宋体" w:hAnsi="宋体"/>
          <w:szCs w:val="20"/>
        </w:rPr>
        <w:t>投诉事项 1：</w:t>
      </w:r>
    </w:p>
    <w:p>
      <w:pPr>
        <w:pStyle w:val="21"/>
        <w:rPr>
          <w:rFonts w:ascii="宋体" w:hAnsi="宋体"/>
          <w:szCs w:val="20"/>
        </w:rPr>
      </w:pPr>
      <w:r>
        <w:rPr>
          <w:rFonts w:hint="eastAsia" w:ascii="宋体" w:hAnsi="宋体"/>
          <w:szCs w:val="20"/>
        </w:rPr>
        <w:t>事实依据：</w:t>
      </w:r>
    </w:p>
    <w:p>
      <w:pPr>
        <w:pStyle w:val="21"/>
        <w:rPr>
          <w:rFonts w:ascii="宋体" w:hAnsi="宋体"/>
          <w:szCs w:val="20"/>
        </w:rPr>
      </w:pPr>
      <w:r>
        <w:rPr>
          <w:rFonts w:hint="eastAsia" w:ascii="宋体" w:hAnsi="宋体"/>
          <w:szCs w:val="20"/>
        </w:rPr>
        <w:t>法律依据：</w:t>
      </w:r>
    </w:p>
    <w:p>
      <w:pPr>
        <w:pStyle w:val="21"/>
        <w:rPr>
          <w:rFonts w:ascii="宋体" w:hAnsi="宋体"/>
          <w:szCs w:val="20"/>
        </w:rPr>
      </w:pPr>
      <w:r>
        <w:rPr>
          <w:rFonts w:hint="eastAsia" w:ascii="宋体" w:hAnsi="宋体"/>
          <w:szCs w:val="20"/>
        </w:rPr>
        <w:t>投诉事项2：</w:t>
      </w:r>
    </w:p>
    <w:p>
      <w:pPr>
        <w:pStyle w:val="21"/>
        <w:rPr>
          <w:rFonts w:ascii="宋体" w:hAnsi="宋体"/>
          <w:szCs w:val="20"/>
        </w:rPr>
      </w:pPr>
      <w:r>
        <w:rPr>
          <w:rFonts w:hint="eastAsia" w:ascii="宋体" w:hAnsi="宋体"/>
          <w:szCs w:val="20"/>
        </w:rPr>
        <w:t>……</w:t>
      </w:r>
    </w:p>
    <w:p>
      <w:pPr>
        <w:pStyle w:val="21"/>
        <w:numPr>
          <w:ilvl w:val="2"/>
          <w:numId w:val="21"/>
        </w:numPr>
        <w:ind w:left="0" w:firstLine="0"/>
        <w:rPr>
          <w:rFonts w:ascii="宋体" w:hAnsi="宋体"/>
          <w:b/>
          <w:bCs/>
          <w:szCs w:val="20"/>
        </w:rPr>
      </w:pPr>
      <w:r>
        <w:rPr>
          <w:rFonts w:hint="eastAsia" w:ascii="宋体" w:hAnsi="宋体"/>
          <w:b/>
          <w:bCs/>
          <w:szCs w:val="20"/>
        </w:rPr>
        <w:t>与投诉事项相关的投诉请求</w:t>
      </w:r>
    </w:p>
    <w:p>
      <w:pPr>
        <w:pStyle w:val="21"/>
        <w:rPr>
          <w:rFonts w:ascii="宋体" w:hAnsi="宋体"/>
          <w:szCs w:val="20"/>
        </w:rPr>
      </w:pPr>
      <w:r>
        <w:rPr>
          <w:rFonts w:hint="eastAsia" w:ascii="宋体" w:hAnsi="宋体"/>
          <w:szCs w:val="20"/>
        </w:rPr>
        <w:t>请求：</w:t>
      </w:r>
    </w:p>
    <w:p>
      <w:pPr>
        <w:pStyle w:val="21"/>
        <w:rPr>
          <w:rFonts w:ascii="宋体" w:hAnsi="宋体"/>
          <w:szCs w:val="20"/>
        </w:rPr>
      </w:pPr>
    </w:p>
    <w:p>
      <w:pPr>
        <w:jc w:val="right"/>
        <w:rPr>
          <w:rFonts w:ascii="宋体" w:hAnsi="宋体"/>
          <w:szCs w:val="21"/>
        </w:rPr>
      </w:pPr>
      <w:r>
        <w:rPr>
          <w:rFonts w:hint="eastAsia" w:ascii="宋体" w:hAnsi="宋体"/>
          <w:szCs w:val="21"/>
        </w:rPr>
        <w:t>签字（签章）：公章：</w:t>
      </w:r>
      <w:r>
        <w:rPr>
          <w:rFonts w:ascii="宋体" w:hAnsi="宋体" w:cs="仿宋"/>
          <w:szCs w:val="21"/>
          <w:u w:val="dotted"/>
        </w:rPr>
        <w:t>.</w:t>
      </w:r>
    </w:p>
    <w:p>
      <w:pPr>
        <w:pStyle w:val="21"/>
        <w:jc w:val="right"/>
        <w:rPr>
          <w:rFonts w:ascii="宋体" w:hAnsi="宋体"/>
          <w:szCs w:val="20"/>
        </w:rPr>
      </w:pPr>
      <w:r>
        <w:rPr>
          <w:rFonts w:hint="eastAsia" w:ascii="宋体" w:hAnsi="宋体"/>
          <w:szCs w:val="16"/>
        </w:rPr>
        <w:t>日期：年月日</w:t>
      </w:r>
      <w:r>
        <w:rPr>
          <w:rFonts w:ascii="宋体" w:hAnsi="宋体"/>
          <w:sz w:val="16"/>
          <w:szCs w:val="15"/>
        </w:rPr>
        <w:cr/>
      </w:r>
    </w:p>
    <w:p>
      <w:pPr>
        <w:pStyle w:val="21"/>
        <w:rPr>
          <w:rFonts w:ascii="宋体" w:hAnsi="宋体"/>
          <w:szCs w:val="20"/>
        </w:rPr>
      </w:pPr>
      <w:r>
        <w:rPr>
          <w:rFonts w:hint="eastAsia" w:ascii="宋体" w:hAnsi="宋体"/>
          <w:szCs w:val="20"/>
        </w:rPr>
        <w:t>投诉书制作说明：</w:t>
      </w:r>
    </w:p>
    <w:p>
      <w:pPr>
        <w:pStyle w:val="21"/>
        <w:ind w:firstLine="420" w:firstLineChars="200"/>
        <w:rPr>
          <w:rFonts w:ascii="宋体" w:hAnsi="宋体"/>
          <w:szCs w:val="20"/>
        </w:rPr>
      </w:pPr>
      <w:r>
        <w:rPr>
          <w:rFonts w:hint="eastAsia" w:ascii="宋体" w:hAnsi="宋体"/>
          <w:szCs w:val="20"/>
        </w:rPr>
        <w:t>1.投诉人提起投诉时，应当提交投诉书和必要的证明材料，并按照被投诉人和与投诉事项有关的供应商数量提供投诉书副本。</w:t>
      </w:r>
    </w:p>
    <w:p>
      <w:pPr>
        <w:pStyle w:val="21"/>
        <w:ind w:firstLine="420" w:firstLineChars="200"/>
        <w:rPr>
          <w:rFonts w:ascii="宋体" w:hAnsi="宋体"/>
          <w:szCs w:val="20"/>
        </w:rPr>
      </w:pPr>
      <w:r>
        <w:rPr>
          <w:rFonts w:hint="eastAsia" w:ascii="宋体" w:hAnsi="宋体"/>
          <w:szCs w:val="20"/>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21"/>
        <w:ind w:firstLine="420" w:firstLineChars="200"/>
        <w:rPr>
          <w:rFonts w:ascii="宋体" w:hAnsi="宋体"/>
          <w:szCs w:val="20"/>
        </w:rPr>
      </w:pPr>
      <w:r>
        <w:rPr>
          <w:rFonts w:hint="eastAsia" w:ascii="宋体" w:hAnsi="宋体"/>
          <w:szCs w:val="20"/>
        </w:rPr>
        <w:t>3.投诉人若对项目的某一分包进行投诉，投诉书应列明具体分包号。</w:t>
      </w:r>
    </w:p>
    <w:p>
      <w:pPr>
        <w:pStyle w:val="21"/>
        <w:ind w:firstLine="420" w:firstLineChars="200"/>
        <w:rPr>
          <w:rFonts w:ascii="宋体" w:hAnsi="宋体"/>
          <w:szCs w:val="20"/>
        </w:rPr>
      </w:pPr>
      <w:r>
        <w:rPr>
          <w:rFonts w:hint="eastAsia" w:ascii="宋体" w:hAnsi="宋体"/>
          <w:szCs w:val="20"/>
        </w:rPr>
        <w:t>4.投诉书应简要列明质疑事项，质疑函、质疑答复等作为附件材料提供。</w:t>
      </w:r>
    </w:p>
    <w:p>
      <w:pPr>
        <w:pStyle w:val="21"/>
        <w:ind w:firstLine="420" w:firstLineChars="200"/>
        <w:rPr>
          <w:rFonts w:ascii="宋体" w:hAnsi="宋体"/>
          <w:szCs w:val="20"/>
        </w:rPr>
      </w:pPr>
      <w:r>
        <w:rPr>
          <w:rFonts w:hint="eastAsia" w:ascii="宋体" w:hAnsi="宋体"/>
          <w:szCs w:val="20"/>
        </w:rPr>
        <w:t>5.投诉书的投诉事项应具体、明确，并有必要的事实依据和法律依据。</w:t>
      </w:r>
    </w:p>
    <w:p>
      <w:pPr>
        <w:pStyle w:val="21"/>
        <w:ind w:firstLine="420" w:firstLineChars="200"/>
        <w:rPr>
          <w:rFonts w:ascii="宋体" w:hAnsi="宋体"/>
          <w:szCs w:val="20"/>
        </w:rPr>
      </w:pPr>
      <w:r>
        <w:rPr>
          <w:rFonts w:hint="eastAsia" w:ascii="宋体" w:hAnsi="宋体"/>
          <w:szCs w:val="20"/>
        </w:rPr>
        <w:t>6.投诉书的投诉请求应与投诉事项相关。</w:t>
      </w:r>
    </w:p>
    <w:p>
      <w:pPr>
        <w:pStyle w:val="21"/>
        <w:ind w:firstLine="420" w:firstLineChars="200"/>
        <w:rPr>
          <w:rFonts w:ascii="宋体" w:hAnsi="宋体"/>
          <w:szCs w:val="20"/>
        </w:rPr>
      </w:pPr>
      <w:r>
        <w:rPr>
          <w:rFonts w:hint="eastAsia" w:ascii="宋体" w:hAnsi="宋体"/>
          <w:szCs w:val="20"/>
        </w:rPr>
        <w:t>7.投诉人为自然人的，投诉书应当由本人签字；投诉人为法人或者其他组织的，投诉书应当由法定代表人、主要负责人，或者其授权代表签字或者盖章，并加盖公章。</w:t>
      </w:r>
      <w:r>
        <w:rPr>
          <w:rFonts w:ascii="宋体" w:hAnsi="宋体"/>
          <w:szCs w:val="20"/>
        </w:rPr>
        <w:cr/>
      </w:r>
      <w:bookmarkEnd w:id="682"/>
    </w:p>
    <w:sectPr>
      <w:headerReference r:id="rId16" w:type="first"/>
      <w:footerReference r:id="rId18" w:type="first"/>
      <w:headerReference r:id="rId15" w:type="default"/>
      <w:footerReference r:id="rId17" w:type="default"/>
      <w:pgSz w:w="11906" w:h="16838"/>
      <w:pgMar w:top="1418" w:right="1440" w:bottom="1418" w:left="1440" w:header="567" w:footer="992" w:gutter="0"/>
      <w:paperSrc w:first="7"/>
      <w:cols w:space="720" w:num="1"/>
      <w:titlePg/>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文鼎CS中黑">
    <w:altName w:val="黑体"/>
    <w:panose1 w:val="00000000000000000000"/>
    <w:charset w:val="86"/>
    <w:family w:val="modern"/>
    <w:pitch w:val="default"/>
    <w:sig w:usb0="00000000" w:usb1="00000000" w:usb2="00000010" w:usb3="00000000" w:csb0="00040000" w:csb1="00000000"/>
  </w:font>
  <w:font w:name="SimSun-Identity-H">
    <w:altName w:val="宋体"/>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文鼎CS中黑">
    <w:altName w:val="@黑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体">
    <w:altName w:val="仿宋"/>
    <w:panose1 w:val="00000000000000000000"/>
    <w:charset w:val="86"/>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font>
  <w:font w:name="Futura-Heavy">
    <w:altName w:val="Courier New"/>
    <w:panose1 w:val="00000000000000000000"/>
    <w:charset w:val="00"/>
    <w:family w:val="swiss"/>
    <w:pitch w:val="default"/>
    <w:sig w:usb0="00000000" w:usb1="00000000" w:usb2="00000000" w:usb3="00000000" w:csb0="000001FB"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w:pict>
        <v:shape id="_x0000_s2055" o:spid="_x0000_s2055"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path/>
          <v:fill on="f" focussize="0,0"/>
          <v:stroke on="f" weight="0.5pt" joinstyle="miter"/>
          <v:imagedata o:title=""/>
          <o:lock v:ext="edit"/>
          <v:textbox inset="0mm,0mm,0mm,0mm" style="mso-fit-shape-to-text:t;">
            <w:txbxContent>
              <w:p>
                <w:pPr>
                  <w:pStyle w:val="30"/>
                </w:pPr>
                <w:r>
                  <w:fldChar w:fldCharType="begin"/>
                </w:r>
                <w:r>
                  <w:instrText xml:space="preserve"> PAGE  \* MERGEFORMAT </w:instrText>
                </w:r>
                <w:r>
                  <w:fldChar w:fldCharType="separate"/>
                </w:r>
                <w:r>
                  <w:t>55</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w:pict>
        <v:shape id="_x0000_s2056" o:spid="_x0000_s205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path/>
          <v:fill on="f" focussize="0,0"/>
          <v:stroke on="f" weight="0.5pt" joinstyle="miter"/>
          <v:imagedata o:title=""/>
          <o:lock v:ext="edit"/>
          <v:textbox inset="0mm,0mm,0mm,0mm" style="mso-fit-shape-to-text:t;">
            <w:txbxContent>
              <w:p>
                <w:pPr>
                  <w:pStyle w:val="30"/>
                </w:pPr>
                <w:r>
                  <w:fldChar w:fldCharType="begin"/>
                </w:r>
                <w:r>
                  <w:instrText xml:space="preserve"> PAGE  \* MERGEFORMAT </w:instrText>
                </w:r>
                <w:r>
                  <w:fldChar w:fldCharType="separate"/>
                </w:r>
                <w:r>
                  <w:t>1</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rPr>
        <w:sz w:val="24"/>
        <w:szCs w:val="24"/>
      </w:rPr>
    </w:pPr>
    <w:r>
      <w:rPr>
        <w:sz w:val="24"/>
      </w:rPr>
      <w:pict>
        <v:shape id="_x0000_s2053" o:spid="_x0000_s2053"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path/>
          <v:fill on="f" focussize="0,0"/>
          <v:stroke on="f" weight="0.5pt" joinstyle="miter"/>
          <v:imagedata o:title=""/>
          <o:lock v:ext="edit"/>
          <v:textbox inset="0mm,0mm,0mm,0mm" style="mso-fit-shape-to-text:t;">
            <w:txbxContent>
              <w:p>
                <w:pPr>
                  <w:pStyle w:val="30"/>
                </w:pPr>
                <w:r>
                  <w:fldChar w:fldCharType="begin"/>
                </w:r>
                <w:r>
                  <w:instrText xml:space="preserve"> PAGE  \* MERGEFORMAT </w:instrText>
                </w:r>
                <w:r>
                  <w:fldChar w:fldCharType="separate"/>
                </w:r>
                <w:r>
                  <w:t>1</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szCs w:val="24"/>
      </w:rPr>
    </w:pPr>
    <w:r>
      <w:pict>
        <v:shape id="_x0000_s2054" o:spid="_x0000_s2054"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path/>
          <v:fill on="f" focussize="0,0"/>
          <v:stroke on="f" weight="0.5pt" joinstyle="miter"/>
          <v:imagedata o:title=""/>
          <o:lock v:ext="edit"/>
          <v:textbox inset="0mm,0mm,0mm,0mm" style="mso-fit-shape-to-text:t;">
            <w:txbxContent>
              <w:p>
                <w:pPr>
                  <w:pStyle w:val="30"/>
                </w:pPr>
                <w:r>
                  <w:fldChar w:fldCharType="begin"/>
                </w:r>
                <w:r>
                  <w:instrText xml:space="preserve"> PAGE  \* MERGEFORMAT </w:instrText>
                </w:r>
                <w:r>
                  <w:fldChar w:fldCharType="separate"/>
                </w:r>
                <w:r>
                  <w:t>56</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rPr>
        <w:szCs w:val="24"/>
      </w:rPr>
    </w:pPr>
    <w:r>
      <w:pict>
        <v:shape id="_x0000_s2052" o:spid="_x0000_s2052"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path/>
          <v:fill on="f" focussize="0,0"/>
          <v:stroke on="f" weight="0.5pt" joinstyle="miter"/>
          <v:imagedata o:title=""/>
          <o:lock v:ext="edit"/>
          <v:textbox inset="0mm,0mm,0mm,0mm" style="mso-fit-shape-to-text:t;">
            <w:txbxContent>
              <w:p>
                <w:pPr>
                  <w:pStyle w:val="30"/>
                </w:pPr>
                <w:r>
                  <w:fldChar w:fldCharType="begin"/>
                </w:r>
                <w:r>
                  <w:instrText xml:space="preserve"> PAGE  \* MERGEFORMAT </w:instrText>
                </w:r>
                <w:r>
                  <w:fldChar w:fldCharType="separate"/>
                </w:r>
                <w:r>
                  <w:t>138</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rPr>
        <w:szCs w:val="24"/>
      </w:rPr>
    </w:pPr>
    <w:r>
      <w:pict>
        <v:shape id="_x0000_s2051" o:spid="_x0000_s2051"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path/>
          <v:fill on="f" focussize="0,0"/>
          <v:stroke on="f" weight="0.5pt" joinstyle="miter"/>
          <v:imagedata o:title=""/>
          <o:lock v:ext="edit"/>
          <v:textbox inset="0mm,0mm,0mm,0mm" style="mso-fit-shape-to-text:t;">
            <w:txbxContent>
              <w:p>
                <w:pPr>
                  <w:pStyle w:val="30"/>
                </w:pPr>
                <w:r>
                  <w:fldChar w:fldCharType="begin"/>
                </w:r>
                <w:r>
                  <w:instrText xml:space="preserve"> PAGE  \* MERGEFORMAT </w:instrText>
                </w:r>
                <w:r>
                  <w:fldChar w:fldCharType="separate"/>
                </w:r>
                <w:r>
                  <w:t>175</w:t>
                </w:r>
                <w: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rPr>
        <w:rFonts w:ascii="宋体" w:hAnsi="宋体" w:eastAsia="宋体"/>
        <w:sz w:val="21"/>
        <w:szCs w:val="21"/>
      </w:rPr>
    </w:pPr>
    <w:r>
      <w:rPr>
        <w:sz w:val="21"/>
      </w:rPr>
      <w:pict>
        <v:shape id="_x0000_s2049" o:spid="_x0000_s2049"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path/>
          <v:fill on="f" focussize="0,0"/>
          <v:stroke on="f" weight="0.5pt" joinstyle="miter"/>
          <v:imagedata o:title=""/>
          <o:lock v:ext="edit"/>
          <v:textbox inset="0mm,0mm,0mm,0mm" style="mso-fit-shape-to-text:t;">
            <w:txbxContent>
              <w:p>
                <w:pPr>
                  <w:pStyle w:val="30"/>
                </w:pPr>
                <w:r>
                  <w:fldChar w:fldCharType="begin"/>
                </w:r>
                <w:r>
                  <w:instrText xml:space="preserve"> PAGE  \* MERGEFORMAT </w:instrText>
                </w:r>
                <w:r>
                  <w:fldChar w:fldCharType="separate"/>
                </w:r>
                <w:r>
                  <w:t>199</w:t>
                </w:r>
                <w: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w:pict>
        <v:shape id="_x0000_s2050" o:spid="_x0000_s2050"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path/>
          <v:fill on="f" focussize="0,0"/>
          <v:stroke on="f" weight="0.5pt" joinstyle="miter"/>
          <v:imagedata o:title=""/>
          <o:lock v:ext="edit"/>
          <v:textbox inset="0mm,0mm,0mm,0mm" style="mso-fit-shape-to-text:t;">
            <w:txbxContent>
              <w:p>
                <w:pPr>
                  <w:pStyle w:val="30"/>
                </w:pPr>
                <w:r>
                  <w:fldChar w:fldCharType="begin"/>
                </w:r>
                <w:r>
                  <w:instrText xml:space="preserve"> PAGE  \* MERGEFORMAT </w:instrText>
                </w:r>
                <w:r>
                  <w:fldChar w:fldCharType="separate"/>
                </w:r>
                <w:r>
                  <w:t>176</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left"/>
      <w:rPr>
        <w:szCs w:val="24"/>
      </w:rPr>
    </w:pPr>
    <w:r>
      <w:rPr>
        <w:rFonts w:ascii="宋体" w:hAnsi="宋体"/>
      </w:rPr>
      <w:drawing>
        <wp:inline distT="0" distB="0" distL="0" distR="0">
          <wp:extent cx="1421130" cy="482600"/>
          <wp:effectExtent l="0" t="0" r="7620" b="12700"/>
          <wp:docPr id="2" name="图片 2" descr="徽标, 公司名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徽标, 公司名称&#10;&#10;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t="30397" b="35597"/>
                  <a:stretch>
                    <a:fillRect/>
                  </a:stretch>
                </pic:blipFill>
                <pic:spPr>
                  <a:xfrm>
                    <a:off x="0" y="0"/>
                    <a:ext cx="1451227" cy="493267"/>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Bdr>
        <w:bottom w:val="none" w:color="auto" w:sz="0" w:space="1"/>
      </w:pBdr>
      <w:jc w:val="left"/>
      <w:rPr>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left"/>
    </w:pPr>
    <w:r>
      <w:rPr>
        <w:rFonts w:ascii="宋体" w:hAnsi="宋体"/>
      </w:rPr>
      <w:drawing>
        <wp:inline distT="0" distB="0" distL="0" distR="0">
          <wp:extent cx="1421130" cy="482600"/>
          <wp:effectExtent l="0" t="0" r="7620" b="12700"/>
          <wp:docPr id="14" name="图片 14" descr="徽标, 公司名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徽标, 公司名称&#10;&#10;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t="30397" b="35597"/>
                  <a:stretch>
                    <a:fillRect/>
                  </a:stretch>
                </pic:blipFill>
                <pic:spPr>
                  <a:xfrm>
                    <a:off x="0" y="0"/>
                    <a:ext cx="1451227" cy="493267"/>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left"/>
      <w:rPr>
        <w:szCs w:val="24"/>
      </w:rPr>
    </w:pPr>
    <w:r>
      <w:rPr>
        <w:rFonts w:ascii="宋体" w:hAnsi="宋体"/>
      </w:rPr>
      <w:drawing>
        <wp:inline distT="0" distB="0" distL="0" distR="0">
          <wp:extent cx="1421130" cy="482600"/>
          <wp:effectExtent l="0" t="0" r="7620" b="12700"/>
          <wp:docPr id="5" name="图片 5" descr="徽标, 公司名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徽标, 公司名称&#10;&#10;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t="30397" b="35597"/>
                  <a:stretch>
                    <a:fillRect/>
                  </a:stretch>
                </pic:blipFill>
                <pic:spPr>
                  <a:xfrm>
                    <a:off x="0" y="0"/>
                    <a:ext cx="1451227" cy="493267"/>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left"/>
    </w:pPr>
    <w:r>
      <w:rPr>
        <w:rFonts w:ascii="宋体" w:hAnsi="宋体"/>
      </w:rPr>
      <w:drawing>
        <wp:inline distT="0" distB="0" distL="0" distR="0">
          <wp:extent cx="1421130" cy="482600"/>
          <wp:effectExtent l="0" t="0" r="7620" b="0"/>
          <wp:docPr id="7" name="图片 7" descr="徽标, 公司名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徽标, 公司名称&#10;&#10;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t="30397" b="35597"/>
                  <a:stretch>
                    <a:fillRect/>
                  </a:stretch>
                </pic:blipFill>
                <pic:spPr>
                  <a:xfrm>
                    <a:off x="0" y="0"/>
                    <a:ext cx="1451227" cy="493267"/>
                  </a:xfrm>
                  <a:prstGeom prst="rect">
                    <a:avLst/>
                  </a:prstGeom>
                  <a:noFill/>
                  <a:ln>
                    <a:noFill/>
                  </a:ln>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left"/>
    </w:pPr>
    <w:r>
      <w:rPr>
        <w:rFonts w:ascii="宋体" w:hAnsi="宋体"/>
      </w:rPr>
      <w:drawing>
        <wp:inline distT="0" distB="0" distL="0" distR="0">
          <wp:extent cx="1421130" cy="482600"/>
          <wp:effectExtent l="0" t="0" r="7620" b="12700"/>
          <wp:docPr id="8" name="图片 8" descr="徽标, 公司名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徽标, 公司名称&#10;&#10;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t="30397" b="35597"/>
                  <a:stretch>
                    <a:fillRect/>
                  </a:stretch>
                </pic:blipFill>
                <pic:spPr>
                  <a:xfrm>
                    <a:off x="0" y="0"/>
                    <a:ext cx="1451227" cy="493267"/>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suff w:val="nothing"/>
      <w:lvlText w:val="（%1）"/>
      <w:lvlJc w:val="left"/>
      <w:rPr>
        <w:rFonts w:hint="default"/>
        <w:u w:val="none"/>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
    <w:nsid w:val="00000002"/>
    <w:multiLevelType w:val="multilevel"/>
    <w:tmpl w:val="00000002"/>
    <w:lvl w:ilvl="0" w:tentative="0">
      <w:start w:val="1"/>
      <w:numFmt w:val="decimal"/>
      <w:lvlText w:val="（%1）"/>
      <w:lvlJc w:val="left"/>
      <w:rPr>
        <w:rFonts w:hint="default" w:ascii="宋体" w:hAnsi="宋体" w:eastAsia="宋体"/>
        <w:color w:val="000000"/>
        <w:sz w:val="21"/>
        <w:szCs w:val="16"/>
        <w:u w:val="none" w:color="000000"/>
      </w:rPr>
    </w:lvl>
    <w:lvl w:ilvl="1" w:tentative="0">
      <w:start w:val="1"/>
      <w:numFmt w:val="lowerLetter"/>
      <w:lvlText w:val="%2"/>
      <w:lvlJc w:val="left"/>
      <w:pPr>
        <w:ind w:left="1560"/>
      </w:pPr>
      <w:rPr>
        <w:rFonts w:hint="default" w:ascii="宋体" w:hAnsi="宋体" w:eastAsia="宋体"/>
        <w:color w:val="000000"/>
        <w:sz w:val="24"/>
        <w:u w:val="none" w:color="000000"/>
      </w:rPr>
    </w:lvl>
    <w:lvl w:ilvl="2" w:tentative="0">
      <w:start w:val="1"/>
      <w:numFmt w:val="lowerRoman"/>
      <w:lvlText w:val="%3"/>
      <w:lvlJc w:val="left"/>
      <w:pPr>
        <w:ind w:left="2280"/>
      </w:pPr>
      <w:rPr>
        <w:rFonts w:hint="default" w:ascii="宋体" w:hAnsi="宋体" w:eastAsia="宋体"/>
        <w:color w:val="000000"/>
        <w:sz w:val="24"/>
        <w:u w:val="none" w:color="000000"/>
      </w:rPr>
    </w:lvl>
    <w:lvl w:ilvl="3" w:tentative="0">
      <w:start w:val="1"/>
      <w:numFmt w:val="decimal"/>
      <w:lvlText w:val="%4"/>
      <w:lvlJc w:val="left"/>
      <w:pPr>
        <w:ind w:left="3000"/>
      </w:pPr>
      <w:rPr>
        <w:rFonts w:hint="default" w:ascii="宋体" w:hAnsi="宋体" w:eastAsia="宋体"/>
        <w:color w:val="000000"/>
        <w:sz w:val="24"/>
        <w:u w:val="none" w:color="000000"/>
      </w:rPr>
    </w:lvl>
    <w:lvl w:ilvl="4" w:tentative="0">
      <w:start w:val="1"/>
      <w:numFmt w:val="lowerLetter"/>
      <w:lvlText w:val="%5"/>
      <w:lvlJc w:val="left"/>
      <w:pPr>
        <w:ind w:left="3720"/>
      </w:pPr>
      <w:rPr>
        <w:rFonts w:hint="default" w:ascii="宋体" w:hAnsi="宋体" w:eastAsia="宋体"/>
        <w:color w:val="000000"/>
        <w:sz w:val="24"/>
        <w:u w:val="none" w:color="000000"/>
      </w:rPr>
    </w:lvl>
    <w:lvl w:ilvl="5" w:tentative="0">
      <w:start w:val="1"/>
      <w:numFmt w:val="lowerRoman"/>
      <w:lvlText w:val="%6"/>
      <w:lvlJc w:val="left"/>
      <w:pPr>
        <w:ind w:left="4440"/>
      </w:pPr>
      <w:rPr>
        <w:rFonts w:hint="default" w:ascii="宋体" w:hAnsi="宋体" w:eastAsia="宋体"/>
        <w:color w:val="000000"/>
        <w:sz w:val="24"/>
        <w:u w:val="none" w:color="000000"/>
      </w:rPr>
    </w:lvl>
    <w:lvl w:ilvl="6" w:tentative="0">
      <w:start w:val="1"/>
      <w:numFmt w:val="decimal"/>
      <w:lvlText w:val="%7"/>
      <w:lvlJc w:val="left"/>
      <w:pPr>
        <w:ind w:left="5160"/>
      </w:pPr>
      <w:rPr>
        <w:rFonts w:hint="default" w:ascii="宋体" w:hAnsi="宋体" w:eastAsia="宋体"/>
        <w:color w:val="000000"/>
        <w:sz w:val="24"/>
        <w:u w:val="none" w:color="000000"/>
      </w:rPr>
    </w:lvl>
    <w:lvl w:ilvl="7" w:tentative="0">
      <w:start w:val="1"/>
      <w:numFmt w:val="lowerLetter"/>
      <w:lvlText w:val="%8"/>
      <w:lvlJc w:val="left"/>
      <w:pPr>
        <w:ind w:left="5880"/>
      </w:pPr>
      <w:rPr>
        <w:rFonts w:hint="default" w:ascii="宋体" w:hAnsi="宋体" w:eastAsia="宋体"/>
        <w:color w:val="000000"/>
        <w:sz w:val="24"/>
        <w:u w:val="none" w:color="000000"/>
      </w:rPr>
    </w:lvl>
    <w:lvl w:ilvl="8" w:tentative="0">
      <w:start w:val="1"/>
      <w:numFmt w:val="lowerRoman"/>
      <w:lvlText w:val="%9"/>
      <w:lvlJc w:val="left"/>
      <w:pPr>
        <w:ind w:left="6600"/>
      </w:pPr>
      <w:rPr>
        <w:rFonts w:hint="default" w:ascii="宋体" w:hAnsi="宋体" w:eastAsia="宋体"/>
        <w:color w:val="000000"/>
        <w:sz w:val="24"/>
        <w:u w:val="none" w:color="000000"/>
      </w:rPr>
    </w:lvl>
  </w:abstractNum>
  <w:abstractNum w:abstractNumId="2">
    <w:nsid w:val="00000005"/>
    <w:multiLevelType w:val="multilevel"/>
    <w:tmpl w:val="00000005"/>
    <w:lvl w:ilvl="0" w:tentative="0">
      <w:start w:val="1"/>
      <w:numFmt w:val="decimal"/>
      <w:pStyle w:val="350"/>
      <w:lvlText w:val="%1、"/>
      <w:lvlJc w:val="left"/>
      <w:pPr>
        <w:tabs>
          <w:tab w:val="left" w:pos="360"/>
        </w:tabs>
        <w:ind w:left="360" w:hanging="360"/>
      </w:pPr>
      <w:rPr>
        <w:rFonts w:hint="eastAsia"/>
      </w:rPr>
    </w:lvl>
    <w:lvl w:ilvl="1" w:tentative="0">
      <w:start w:val="1"/>
      <w:numFmt w:val="decimal"/>
      <w:lvlText w:val="（%2）"/>
      <w:lvlJc w:val="left"/>
      <w:pPr>
        <w:tabs>
          <w:tab w:val="left" w:pos="1143"/>
        </w:tabs>
        <w:ind w:left="1143" w:hanging="720"/>
      </w:pPr>
      <w:rPr>
        <w:rFonts w:hint="eastAsia"/>
      </w:rPr>
    </w:lvl>
    <w:lvl w:ilvl="2" w:tentative="0">
      <w:start w:val="1"/>
      <w:numFmt w:val="decimal"/>
      <w:lvlText w:val="%3．"/>
      <w:lvlJc w:val="left"/>
      <w:pPr>
        <w:tabs>
          <w:tab w:val="left" w:pos="1203"/>
        </w:tabs>
        <w:ind w:left="1203" w:hanging="360"/>
      </w:pPr>
      <w:rPr>
        <w:rFonts w:hint="eastAsia"/>
      </w:rPr>
    </w:lvl>
    <w:lvl w:ilvl="3" w:tentative="0">
      <w:start w:val="1"/>
      <w:numFmt w:val="decimal"/>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3">
    <w:nsid w:val="04E8739A"/>
    <w:multiLevelType w:val="multilevel"/>
    <w:tmpl w:val="04E8739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C4576C5"/>
    <w:multiLevelType w:val="multilevel"/>
    <w:tmpl w:val="0C4576C5"/>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F057019"/>
    <w:multiLevelType w:val="multilevel"/>
    <w:tmpl w:val="0F057019"/>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1210193F"/>
    <w:multiLevelType w:val="multilevel"/>
    <w:tmpl w:val="1210193F"/>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133C0F05"/>
    <w:multiLevelType w:val="multilevel"/>
    <w:tmpl w:val="133C0F05"/>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6D568E3"/>
    <w:multiLevelType w:val="multilevel"/>
    <w:tmpl w:val="26D568E3"/>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37E05937"/>
    <w:multiLevelType w:val="multilevel"/>
    <w:tmpl w:val="37E0593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6F00EAC"/>
    <w:multiLevelType w:val="multilevel"/>
    <w:tmpl w:val="56F00EAC"/>
    <w:lvl w:ilvl="0" w:tentative="0">
      <w:start w:val="1"/>
      <w:numFmt w:val="decimal"/>
      <w:lvlText w:val="%1."/>
      <w:lvlJc w:val="left"/>
      <w:pPr>
        <w:ind w:left="420" w:hanging="420"/>
      </w:pPr>
      <w:rPr>
        <w:rFonts w:hint="eastAsia"/>
      </w:rPr>
    </w:lvl>
    <w:lvl w:ilvl="1" w:tentative="0">
      <w:start w:val="1"/>
      <w:numFmt w:val="decimal"/>
      <w:suff w:val="space"/>
      <w:lvlText w:val="%2."/>
      <w:lvlJc w:val="left"/>
      <w:pPr>
        <w:ind w:left="42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A5410B6"/>
    <w:multiLevelType w:val="singleLevel"/>
    <w:tmpl w:val="5A5410B6"/>
    <w:lvl w:ilvl="0" w:tentative="0">
      <w:start w:val="1"/>
      <w:numFmt w:val="decimal"/>
      <w:pStyle w:val="186"/>
      <w:suff w:val="space"/>
      <w:lvlText w:val="%1)"/>
      <w:lvlJc w:val="left"/>
    </w:lvl>
  </w:abstractNum>
  <w:abstractNum w:abstractNumId="12">
    <w:nsid w:val="5B1874DF"/>
    <w:multiLevelType w:val="multilevel"/>
    <w:tmpl w:val="5B1874DF"/>
    <w:lvl w:ilvl="0" w:tentative="0">
      <w:start w:val="1"/>
      <w:numFmt w:val="chineseCountingThousand"/>
      <w:suff w:val="nothing"/>
      <w:lvlText w:val="%1、"/>
      <w:lvlJc w:val="left"/>
      <w:pPr>
        <w:ind w:left="720" w:hanging="720"/>
      </w:pPr>
      <w:rPr>
        <w:rFonts w:hint="default"/>
        <w:b w:val="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3">
    <w:nsid w:val="5C421F5D"/>
    <w:multiLevelType w:val="multilevel"/>
    <w:tmpl w:val="5C421F5D"/>
    <w:lvl w:ilvl="0" w:tentative="0">
      <w:start w:val="1"/>
      <w:numFmt w:val="decimal"/>
      <w:suff w:val="nothing"/>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666F7FCA"/>
    <w:multiLevelType w:val="multilevel"/>
    <w:tmpl w:val="666F7FCA"/>
    <w:lvl w:ilvl="0" w:tentative="0">
      <w:start w:val="1"/>
      <w:numFmt w:val="chineseCountingThousand"/>
      <w:suff w:val="nothing"/>
      <w:lvlText w:val="%1、"/>
      <w:lvlJc w:val="left"/>
      <w:pPr>
        <w:ind w:left="420" w:hanging="420"/>
      </w:pPr>
      <w:rPr>
        <w:rFonts w:hint="eastAsia"/>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69E301D2"/>
    <w:multiLevelType w:val="multilevel"/>
    <w:tmpl w:val="69E301D2"/>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6D203057"/>
    <w:multiLevelType w:val="multilevel"/>
    <w:tmpl w:val="6D203057"/>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6D300ACB"/>
    <w:multiLevelType w:val="multilevel"/>
    <w:tmpl w:val="6D300ACB"/>
    <w:lvl w:ilvl="0" w:tentative="0">
      <w:start w:val="1"/>
      <w:numFmt w:val="chineseCountingThousand"/>
      <w:suff w:val="nothing"/>
      <w:lvlText w:val="%1、"/>
      <w:lvlJc w:val="left"/>
      <w:pPr>
        <w:ind w:left="420" w:hanging="420"/>
      </w:pPr>
      <w:rPr>
        <w:rFonts w:hint="eastAsia"/>
      </w:rPr>
    </w:lvl>
    <w:lvl w:ilvl="1" w:tentative="0">
      <w:start w:val="1"/>
      <w:numFmt w:val="decimal"/>
      <w:lvlText w:val="（%2）"/>
      <w:lvlJc w:val="left"/>
      <w:pPr>
        <w:ind w:left="1140" w:hanging="720"/>
      </w:pPr>
      <w:rPr>
        <w:rFonts w:hint="default"/>
      </w:rPr>
    </w:lvl>
    <w:lvl w:ilvl="2" w:tentative="0">
      <w:start w:val="1"/>
      <w:numFmt w:val="japaneseCounting"/>
      <w:lvlText w:val="%3、"/>
      <w:lvlJc w:val="left"/>
      <w:pPr>
        <w:ind w:left="1290" w:hanging="45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745C42E1"/>
    <w:multiLevelType w:val="multilevel"/>
    <w:tmpl w:val="745C42E1"/>
    <w:lvl w:ilvl="0" w:tentative="0">
      <w:start w:val="1"/>
      <w:numFmt w:val="chineseCountingThousand"/>
      <w:lvlText w:val="格式%1："/>
      <w:lvlJc w:val="left"/>
      <w:pPr>
        <w:ind w:left="420" w:hanging="420"/>
      </w:pPr>
      <w:rPr>
        <w:rFonts w:hint="eastAsia"/>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7D90384"/>
    <w:multiLevelType w:val="multilevel"/>
    <w:tmpl w:val="77D90384"/>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7AF15434"/>
    <w:multiLevelType w:val="multilevel"/>
    <w:tmpl w:val="7AF15434"/>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1"/>
  </w:num>
  <w:num w:numId="2">
    <w:abstractNumId w:val="2"/>
  </w:num>
  <w:num w:numId="3">
    <w:abstractNumId w:val="12"/>
  </w:num>
  <w:num w:numId="4">
    <w:abstractNumId w:val="3"/>
  </w:num>
  <w:num w:numId="5">
    <w:abstractNumId w:val="14"/>
  </w:num>
  <w:num w:numId="6">
    <w:abstractNumId w:val="20"/>
  </w:num>
  <w:num w:numId="7">
    <w:abstractNumId w:val="10"/>
  </w:num>
  <w:num w:numId="8">
    <w:abstractNumId w:val="4"/>
  </w:num>
  <w:num w:numId="9">
    <w:abstractNumId w:val="5"/>
  </w:num>
  <w:num w:numId="10">
    <w:abstractNumId w:val="16"/>
  </w:num>
  <w:num w:numId="11">
    <w:abstractNumId w:val="19"/>
  </w:num>
  <w:num w:numId="12">
    <w:abstractNumId w:val="17"/>
  </w:num>
  <w:num w:numId="13">
    <w:abstractNumId w:val="7"/>
  </w:num>
  <w:num w:numId="14">
    <w:abstractNumId w:val="6"/>
  </w:num>
  <w:num w:numId="15">
    <w:abstractNumId w:val="13"/>
  </w:num>
  <w:num w:numId="16">
    <w:abstractNumId w:val="8"/>
  </w:num>
  <w:num w:numId="17">
    <w:abstractNumId w:val="0"/>
  </w:num>
  <w:num w:numId="18">
    <w:abstractNumId w:val="1"/>
  </w:num>
  <w:num w:numId="19">
    <w:abstractNumId w:val="18"/>
  </w:num>
  <w:num w:numId="20">
    <w:abstractNumId w:val="15"/>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hideSpellingErrors/>
  <w:documentProtection w:enforcement="0"/>
  <w:defaultTabStop w:val="50"/>
  <w:drawingGridHorizontalSpacing w:val="0"/>
  <w:drawingGridVerticalSpacing w:val="156"/>
  <w:noPunctuationKerning w:val="1"/>
  <w:characterSpacingControl w:val="compressPunctuation"/>
  <w:doNotValidateAgainstSchema/>
  <w:doNotDemarcateInvalidXml/>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GFiZmUxNTJkYTdlYWU4M2U1NDcyOTgyNWI5ZTFmMGMifQ=="/>
  </w:docVars>
  <w:rsids>
    <w:rsidRoot w:val="00172A27"/>
    <w:rsid w:val="00000DFC"/>
    <w:rsid w:val="00001299"/>
    <w:rsid w:val="000013E9"/>
    <w:rsid w:val="000014E0"/>
    <w:rsid w:val="00002E76"/>
    <w:rsid w:val="00002E8D"/>
    <w:rsid w:val="0000458A"/>
    <w:rsid w:val="000049CB"/>
    <w:rsid w:val="00005782"/>
    <w:rsid w:val="000062C0"/>
    <w:rsid w:val="000067C9"/>
    <w:rsid w:val="00006825"/>
    <w:rsid w:val="00006A9D"/>
    <w:rsid w:val="00006BE5"/>
    <w:rsid w:val="00010D87"/>
    <w:rsid w:val="00011353"/>
    <w:rsid w:val="00011415"/>
    <w:rsid w:val="000118F6"/>
    <w:rsid w:val="00011A79"/>
    <w:rsid w:val="00012202"/>
    <w:rsid w:val="00014487"/>
    <w:rsid w:val="00014747"/>
    <w:rsid w:val="0001495F"/>
    <w:rsid w:val="00015A31"/>
    <w:rsid w:val="00016569"/>
    <w:rsid w:val="00017A1F"/>
    <w:rsid w:val="00017E08"/>
    <w:rsid w:val="0002117B"/>
    <w:rsid w:val="000212B0"/>
    <w:rsid w:val="0002137D"/>
    <w:rsid w:val="00021F2F"/>
    <w:rsid w:val="00023420"/>
    <w:rsid w:val="00024146"/>
    <w:rsid w:val="00024375"/>
    <w:rsid w:val="00024B1B"/>
    <w:rsid w:val="00024BB3"/>
    <w:rsid w:val="00024CC4"/>
    <w:rsid w:val="00025171"/>
    <w:rsid w:val="0002518F"/>
    <w:rsid w:val="000251E1"/>
    <w:rsid w:val="00025785"/>
    <w:rsid w:val="00025EF1"/>
    <w:rsid w:val="000261C9"/>
    <w:rsid w:val="00027182"/>
    <w:rsid w:val="00030A1C"/>
    <w:rsid w:val="00030D45"/>
    <w:rsid w:val="00030D4D"/>
    <w:rsid w:val="00030F86"/>
    <w:rsid w:val="000310FE"/>
    <w:rsid w:val="000311CD"/>
    <w:rsid w:val="000314DF"/>
    <w:rsid w:val="000317C3"/>
    <w:rsid w:val="0003189D"/>
    <w:rsid w:val="00031A00"/>
    <w:rsid w:val="0003271D"/>
    <w:rsid w:val="000329F6"/>
    <w:rsid w:val="00032D7B"/>
    <w:rsid w:val="00034B13"/>
    <w:rsid w:val="00034C17"/>
    <w:rsid w:val="00034E6A"/>
    <w:rsid w:val="0003611C"/>
    <w:rsid w:val="000361B8"/>
    <w:rsid w:val="00036EB9"/>
    <w:rsid w:val="0004008F"/>
    <w:rsid w:val="00040531"/>
    <w:rsid w:val="00040CE9"/>
    <w:rsid w:val="00041F76"/>
    <w:rsid w:val="00043057"/>
    <w:rsid w:val="00043669"/>
    <w:rsid w:val="00043BF7"/>
    <w:rsid w:val="00044007"/>
    <w:rsid w:val="00044050"/>
    <w:rsid w:val="00044EA3"/>
    <w:rsid w:val="00045842"/>
    <w:rsid w:val="00046212"/>
    <w:rsid w:val="00046238"/>
    <w:rsid w:val="00046832"/>
    <w:rsid w:val="0004786C"/>
    <w:rsid w:val="000514CA"/>
    <w:rsid w:val="000515C4"/>
    <w:rsid w:val="000516CA"/>
    <w:rsid w:val="000523E0"/>
    <w:rsid w:val="000526CF"/>
    <w:rsid w:val="00053BB7"/>
    <w:rsid w:val="000542A7"/>
    <w:rsid w:val="000547C9"/>
    <w:rsid w:val="0005601C"/>
    <w:rsid w:val="00056379"/>
    <w:rsid w:val="0005678F"/>
    <w:rsid w:val="00057683"/>
    <w:rsid w:val="00057C25"/>
    <w:rsid w:val="000616F5"/>
    <w:rsid w:val="00061989"/>
    <w:rsid w:val="00062459"/>
    <w:rsid w:val="0006253D"/>
    <w:rsid w:val="0006262D"/>
    <w:rsid w:val="00062AE0"/>
    <w:rsid w:val="00062C84"/>
    <w:rsid w:val="00063F79"/>
    <w:rsid w:val="000650B6"/>
    <w:rsid w:val="00065688"/>
    <w:rsid w:val="00065E2F"/>
    <w:rsid w:val="00066475"/>
    <w:rsid w:val="00066997"/>
    <w:rsid w:val="00066C93"/>
    <w:rsid w:val="00066CBD"/>
    <w:rsid w:val="00066E7F"/>
    <w:rsid w:val="000675B7"/>
    <w:rsid w:val="00070803"/>
    <w:rsid w:val="00070C6A"/>
    <w:rsid w:val="00071193"/>
    <w:rsid w:val="000711C4"/>
    <w:rsid w:val="0007231D"/>
    <w:rsid w:val="00072BCE"/>
    <w:rsid w:val="000731F5"/>
    <w:rsid w:val="00073C1D"/>
    <w:rsid w:val="00074C41"/>
    <w:rsid w:val="00074E7B"/>
    <w:rsid w:val="00075121"/>
    <w:rsid w:val="00076E5F"/>
    <w:rsid w:val="00076ED0"/>
    <w:rsid w:val="000770F5"/>
    <w:rsid w:val="00077D51"/>
    <w:rsid w:val="00077EB9"/>
    <w:rsid w:val="00080CB0"/>
    <w:rsid w:val="00080DAE"/>
    <w:rsid w:val="00081520"/>
    <w:rsid w:val="00081655"/>
    <w:rsid w:val="00081972"/>
    <w:rsid w:val="00081CB1"/>
    <w:rsid w:val="00081CDB"/>
    <w:rsid w:val="00081FC3"/>
    <w:rsid w:val="00082FA6"/>
    <w:rsid w:val="000841B7"/>
    <w:rsid w:val="0008531F"/>
    <w:rsid w:val="00085947"/>
    <w:rsid w:val="0008635E"/>
    <w:rsid w:val="00086A33"/>
    <w:rsid w:val="00087DB8"/>
    <w:rsid w:val="00087DE3"/>
    <w:rsid w:val="00090865"/>
    <w:rsid w:val="00090B77"/>
    <w:rsid w:val="000914E6"/>
    <w:rsid w:val="000916F7"/>
    <w:rsid w:val="00091A06"/>
    <w:rsid w:val="00091ABB"/>
    <w:rsid w:val="00091B0A"/>
    <w:rsid w:val="000921B9"/>
    <w:rsid w:val="000935CC"/>
    <w:rsid w:val="00093A9E"/>
    <w:rsid w:val="00093D6F"/>
    <w:rsid w:val="0009477C"/>
    <w:rsid w:val="000963AF"/>
    <w:rsid w:val="000965F8"/>
    <w:rsid w:val="000968A7"/>
    <w:rsid w:val="00096C3A"/>
    <w:rsid w:val="00096C8A"/>
    <w:rsid w:val="000972C0"/>
    <w:rsid w:val="00097A9C"/>
    <w:rsid w:val="00097C2A"/>
    <w:rsid w:val="000A0647"/>
    <w:rsid w:val="000A1D27"/>
    <w:rsid w:val="000A24C1"/>
    <w:rsid w:val="000A2C52"/>
    <w:rsid w:val="000A2D7C"/>
    <w:rsid w:val="000A4B7E"/>
    <w:rsid w:val="000A4C69"/>
    <w:rsid w:val="000A4D91"/>
    <w:rsid w:val="000A5185"/>
    <w:rsid w:val="000A5561"/>
    <w:rsid w:val="000A5607"/>
    <w:rsid w:val="000A6E1A"/>
    <w:rsid w:val="000B0280"/>
    <w:rsid w:val="000B0900"/>
    <w:rsid w:val="000B0E60"/>
    <w:rsid w:val="000B17A0"/>
    <w:rsid w:val="000B2335"/>
    <w:rsid w:val="000B2C61"/>
    <w:rsid w:val="000B2E22"/>
    <w:rsid w:val="000B3955"/>
    <w:rsid w:val="000B3CC6"/>
    <w:rsid w:val="000B420E"/>
    <w:rsid w:val="000B42D3"/>
    <w:rsid w:val="000B4536"/>
    <w:rsid w:val="000B4976"/>
    <w:rsid w:val="000B525E"/>
    <w:rsid w:val="000B568A"/>
    <w:rsid w:val="000B599C"/>
    <w:rsid w:val="000B5B67"/>
    <w:rsid w:val="000B62D4"/>
    <w:rsid w:val="000B6305"/>
    <w:rsid w:val="000B6441"/>
    <w:rsid w:val="000B657B"/>
    <w:rsid w:val="000B67D8"/>
    <w:rsid w:val="000B68E0"/>
    <w:rsid w:val="000B7AB1"/>
    <w:rsid w:val="000B7DC9"/>
    <w:rsid w:val="000B7E65"/>
    <w:rsid w:val="000C000B"/>
    <w:rsid w:val="000C080E"/>
    <w:rsid w:val="000C0882"/>
    <w:rsid w:val="000C08EC"/>
    <w:rsid w:val="000C09F3"/>
    <w:rsid w:val="000C0E13"/>
    <w:rsid w:val="000C0E80"/>
    <w:rsid w:val="000C173C"/>
    <w:rsid w:val="000C1B44"/>
    <w:rsid w:val="000C2898"/>
    <w:rsid w:val="000C2CF5"/>
    <w:rsid w:val="000C33C4"/>
    <w:rsid w:val="000C373F"/>
    <w:rsid w:val="000C3E4D"/>
    <w:rsid w:val="000C3F26"/>
    <w:rsid w:val="000C4A44"/>
    <w:rsid w:val="000C4B63"/>
    <w:rsid w:val="000C4C06"/>
    <w:rsid w:val="000C4E00"/>
    <w:rsid w:val="000C56E2"/>
    <w:rsid w:val="000C57E5"/>
    <w:rsid w:val="000C5A60"/>
    <w:rsid w:val="000C5C08"/>
    <w:rsid w:val="000C5E46"/>
    <w:rsid w:val="000C618E"/>
    <w:rsid w:val="000C67FA"/>
    <w:rsid w:val="000C6817"/>
    <w:rsid w:val="000C6921"/>
    <w:rsid w:val="000C70B9"/>
    <w:rsid w:val="000C76A5"/>
    <w:rsid w:val="000D0141"/>
    <w:rsid w:val="000D0DFA"/>
    <w:rsid w:val="000D2563"/>
    <w:rsid w:val="000D3152"/>
    <w:rsid w:val="000D32E4"/>
    <w:rsid w:val="000D37D7"/>
    <w:rsid w:val="000D3DE1"/>
    <w:rsid w:val="000D3E55"/>
    <w:rsid w:val="000D4D2C"/>
    <w:rsid w:val="000D5492"/>
    <w:rsid w:val="000D5C95"/>
    <w:rsid w:val="000D657A"/>
    <w:rsid w:val="000D6625"/>
    <w:rsid w:val="000D726F"/>
    <w:rsid w:val="000D7328"/>
    <w:rsid w:val="000D7B34"/>
    <w:rsid w:val="000D7D5D"/>
    <w:rsid w:val="000E131B"/>
    <w:rsid w:val="000E1422"/>
    <w:rsid w:val="000E1853"/>
    <w:rsid w:val="000E1926"/>
    <w:rsid w:val="000E1E79"/>
    <w:rsid w:val="000E208F"/>
    <w:rsid w:val="000E28EA"/>
    <w:rsid w:val="000E2BE4"/>
    <w:rsid w:val="000E3541"/>
    <w:rsid w:val="000E3697"/>
    <w:rsid w:val="000E3F00"/>
    <w:rsid w:val="000E4B71"/>
    <w:rsid w:val="000E4D99"/>
    <w:rsid w:val="000E5885"/>
    <w:rsid w:val="000E5B4E"/>
    <w:rsid w:val="000E5E95"/>
    <w:rsid w:val="000E6CBC"/>
    <w:rsid w:val="000E7149"/>
    <w:rsid w:val="000E7C3C"/>
    <w:rsid w:val="000E7CE1"/>
    <w:rsid w:val="000E7F94"/>
    <w:rsid w:val="000F0A27"/>
    <w:rsid w:val="000F0C8C"/>
    <w:rsid w:val="000F10F4"/>
    <w:rsid w:val="000F1CDA"/>
    <w:rsid w:val="000F1DB6"/>
    <w:rsid w:val="000F3035"/>
    <w:rsid w:val="000F3622"/>
    <w:rsid w:val="000F3FD3"/>
    <w:rsid w:val="000F4ECC"/>
    <w:rsid w:val="000F52D8"/>
    <w:rsid w:val="000F53C7"/>
    <w:rsid w:val="000F6823"/>
    <w:rsid w:val="000F76B5"/>
    <w:rsid w:val="001000C5"/>
    <w:rsid w:val="00100911"/>
    <w:rsid w:val="00100CEA"/>
    <w:rsid w:val="00101332"/>
    <w:rsid w:val="001015EC"/>
    <w:rsid w:val="001020E5"/>
    <w:rsid w:val="0010239E"/>
    <w:rsid w:val="00102768"/>
    <w:rsid w:val="00102F9A"/>
    <w:rsid w:val="00103F72"/>
    <w:rsid w:val="00104419"/>
    <w:rsid w:val="001047CE"/>
    <w:rsid w:val="0010636C"/>
    <w:rsid w:val="001066A3"/>
    <w:rsid w:val="00106D93"/>
    <w:rsid w:val="00107907"/>
    <w:rsid w:val="00107EC5"/>
    <w:rsid w:val="00110592"/>
    <w:rsid w:val="001106E4"/>
    <w:rsid w:val="001108DD"/>
    <w:rsid w:val="00111610"/>
    <w:rsid w:val="001116C5"/>
    <w:rsid w:val="001118E8"/>
    <w:rsid w:val="00111E6D"/>
    <w:rsid w:val="0011203B"/>
    <w:rsid w:val="00112150"/>
    <w:rsid w:val="0011294C"/>
    <w:rsid w:val="001134E1"/>
    <w:rsid w:val="00113C4D"/>
    <w:rsid w:val="00113E73"/>
    <w:rsid w:val="00114630"/>
    <w:rsid w:val="00115A76"/>
    <w:rsid w:val="00115AC2"/>
    <w:rsid w:val="00116666"/>
    <w:rsid w:val="001176FE"/>
    <w:rsid w:val="00117C77"/>
    <w:rsid w:val="0012013F"/>
    <w:rsid w:val="001207F1"/>
    <w:rsid w:val="00120989"/>
    <w:rsid w:val="001217C0"/>
    <w:rsid w:val="00121EA4"/>
    <w:rsid w:val="00122C52"/>
    <w:rsid w:val="00123F3C"/>
    <w:rsid w:val="00124563"/>
    <w:rsid w:val="00124C4A"/>
    <w:rsid w:val="00125200"/>
    <w:rsid w:val="0012631E"/>
    <w:rsid w:val="00126DFA"/>
    <w:rsid w:val="0012791F"/>
    <w:rsid w:val="00127B0A"/>
    <w:rsid w:val="00127B0C"/>
    <w:rsid w:val="00130980"/>
    <w:rsid w:val="0013103E"/>
    <w:rsid w:val="0013169E"/>
    <w:rsid w:val="0013199B"/>
    <w:rsid w:val="00131F68"/>
    <w:rsid w:val="00132558"/>
    <w:rsid w:val="00132D24"/>
    <w:rsid w:val="00133495"/>
    <w:rsid w:val="001334D9"/>
    <w:rsid w:val="00133A3A"/>
    <w:rsid w:val="00133FCC"/>
    <w:rsid w:val="001341F5"/>
    <w:rsid w:val="00134432"/>
    <w:rsid w:val="00134651"/>
    <w:rsid w:val="001348EA"/>
    <w:rsid w:val="0013564B"/>
    <w:rsid w:val="00136A0D"/>
    <w:rsid w:val="00136A61"/>
    <w:rsid w:val="00136AA0"/>
    <w:rsid w:val="00136DE9"/>
    <w:rsid w:val="00136DF7"/>
    <w:rsid w:val="001375C3"/>
    <w:rsid w:val="00140499"/>
    <w:rsid w:val="001407E5"/>
    <w:rsid w:val="00141FC8"/>
    <w:rsid w:val="001421D6"/>
    <w:rsid w:val="00142621"/>
    <w:rsid w:val="0014280C"/>
    <w:rsid w:val="00142B41"/>
    <w:rsid w:val="001432A1"/>
    <w:rsid w:val="0014393F"/>
    <w:rsid w:val="00143BF2"/>
    <w:rsid w:val="001452A6"/>
    <w:rsid w:val="00145D3E"/>
    <w:rsid w:val="00146063"/>
    <w:rsid w:val="00147137"/>
    <w:rsid w:val="0014722F"/>
    <w:rsid w:val="0014739F"/>
    <w:rsid w:val="00147508"/>
    <w:rsid w:val="00147FAC"/>
    <w:rsid w:val="00150920"/>
    <w:rsid w:val="00150C51"/>
    <w:rsid w:val="001516F6"/>
    <w:rsid w:val="001531DF"/>
    <w:rsid w:val="0015380E"/>
    <w:rsid w:val="0015479B"/>
    <w:rsid w:val="00155446"/>
    <w:rsid w:val="00155595"/>
    <w:rsid w:val="00156181"/>
    <w:rsid w:val="00156873"/>
    <w:rsid w:val="00161257"/>
    <w:rsid w:val="00161ACE"/>
    <w:rsid w:val="00162251"/>
    <w:rsid w:val="00162375"/>
    <w:rsid w:val="00162557"/>
    <w:rsid w:val="00162D90"/>
    <w:rsid w:val="0016486D"/>
    <w:rsid w:val="001648AD"/>
    <w:rsid w:val="001651FF"/>
    <w:rsid w:val="00165809"/>
    <w:rsid w:val="00166FC8"/>
    <w:rsid w:val="00167834"/>
    <w:rsid w:val="00167E88"/>
    <w:rsid w:val="001707C6"/>
    <w:rsid w:val="00170F9A"/>
    <w:rsid w:val="00171130"/>
    <w:rsid w:val="0017116E"/>
    <w:rsid w:val="0017153A"/>
    <w:rsid w:val="0017155F"/>
    <w:rsid w:val="00171A10"/>
    <w:rsid w:val="00171C6E"/>
    <w:rsid w:val="00171EE3"/>
    <w:rsid w:val="0017249E"/>
    <w:rsid w:val="0017250E"/>
    <w:rsid w:val="001728B1"/>
    <w:rsid w:val="00172A27"/>
    <w:rsid w:val="00172A3D"/>
    <w:rsid w:val="00172BEA"/>
    <w:rsid w:val="00172D13"/>
    <w:rsid w:val="00172ED7"/>
    <w:rsid w:val="001730CF"/>
    <w:rsid w:val="001737B6"/>
    <w:rsid w:val="00173B14"/>
    <w:rsid w:val="0017651C"/>
    <w:rsid w:val="001767CC"/>
    <w:rsid w:val="00176EC1"/>
    <w:rsid w:val="00177B98"/>
    <w:rsid w:val="00177E75"/>
    <w:rsid w:val="001805DC"/>
    <w:rsid w:val="00181402"/>
    <w:rsid w:val="00181B65"/>
    <w:rsid w:val="0018293F"/>
    <w:rsid w:val="00183129"/>
    <w:rsid w:val="0018323B"/>
    <w:rsid w:val="00183317"/>
    <w:rsid w:val="00184A1B"/>
    <w:rsid w:val="00185D4F"/>
    <w:rsid w:val="0018607F"/>
    <w:rsid w:val="00186215"/>
    <w:rsid w:val="00186737"/>
    <w:rsid w:val="001869BE"/>
    <w:rsid w:val="00187141"/>
    <w:rsid w:val="00187B61"/>
    <w:rsid w:val="0019130F"/>
    <w:rsid w:val="00191C18"/>
    <w:rsid w:val="001920D2"/>
    <w:rsid w:val="0019244A"/>
    <w:rsid w:val="00192524"/>
    <w:rsid w:val="001926AD"/>
    <w:rsid w:val="001927EC"/>
    <w:rsid w:val="001933D5"/>
    <w:rsid w:val="001944E3"/>
    <w:rsid w:val="001947BE"/>
    <w:rsid w:val="001948B1"/>
    <w:rsid w:val="00195200"/>
    <w:rsid w:val="001963ED"/>
    <w:rsid w:val="00196844"/>
    <w:rsid w:val="0019719B"/>
    <w:rsid w:val="00197CA9"/>
    <w:rsid w:val="001A00C0"/>
    <w:rsid w:val="001A0FE4"/>
    <w:rsid w:val="001A0FF1"/>
    <w:rsid w:val="001A15C1"/>
    <w:rsid w:val="001A18C3"/>
    <w:rsid w:val="001A1E47"/>
    <w:rsid w:val="001A27D1"/>
    <w:rsid w:val="001A2A04"/>
    <w:rsid w:val="001A2AA1"/>
    <w:rsid w:val="001A4672"/>
    <w:rsid w:val="001A4821"/>
    <w:rsid w:val="001A58A3"/>
    <w:rsid w:val="001A6824"/>
    <w:rsid w:val="001A6B25"/>
    <w:rsid w:val="001A6F55"/>
    <w:rsid w:val="001A7C19"/>
    <w:rsid w:val="001A7D36"/>
    <w:rsid w:val="001B078D"/>
    <w:rsid w:val="001B086F"/>
    <w:rsid w:val="001B16DD"/>
    <w:rsid w:val="001B16F7"/>
    <w:rsid w:val="001B1EDF"/>
    <w:rsid w:val="001B24F2"/>
    <w:rsid w:val="001B2A67"/>
    <w:rsid w:val="001B2E0C"/>
    <w:rsid w:val="001B3125"/>
    <w:rsid w:val="001B341E"/>
    <w:rsid w:val="001B40EE"/>
    <w:rsid w:val="001B66F6"/>
    <w:rsid w:val="001B6FD5"/>
    <w:rsid w:val="001B706E"/>
    <w:rsid w:val="001B7AFC"/>
    <w:rsid w:val="001B7BC9"/>
    <w:rsid w:val="001B7C21"/>
    <w:rsid w:val="001C181A"/>
    <w:rsid w:val="001C2468"/>
    <w:rsid w:val="001C2864"/>
    <w:rsid w:val="001C378F"/>
    <w:rsid w:val="001C3A92"/>
    <w:rsid w:val="001C3B45"/>
    <w:rsid w:val="001C3D05"/>
    <w:rsid w:val="001C3D5B"/>
    <w:rsid w:val="001C4C75"/>
    <w:rsid w:val="001C536B"/>
    <w:rsid w:val="001C56AE"/>
    <w:rsid w:val="001C5DED"/>
    <w:rsid w:val="001C705C"/>
    <w:rsid w:val="001D0859"/>
    <w:rsid w:val="001D176D"/>
    <w:rsid w:val="001D1ED0"/>
    <w:rsid w:val="001D2637"/>
    <w:rsid w:val="001D2A67"/>
    <w:rsid w:val="001D2C12"/>
    <w:rsid w:val="001D3025"/>
    <w:rsid w:val="001D3C53"/>
    <w:rsid w:val="001D3C58"/>
    <w:rsid w:val="001D4AEC"/>
    <w:rsid w:val="001D4DCE"/>
    <w:rsid w:val="001D4E79"/>
    <w:rsid w:val="001D5347"/>
    <w:rsid w:val="001D547A"/>
    <w:rsid w:val="001D63EA"/>
    <w:rsid w:val="001D671C"/>
    <w:rsid w:val="001D79E3"/>
    <w:rsid w:val="001E0BCE"/>
    <w:rsid w:val="001E0C0D"/>
    <w:rsid w:val="001E1671"/>
    <w:rsid w:val="001E1819"/>
    <w:rsid w:val="001E1BF0"/>
    <w:rsid w:val="001E277B"/>
    <w:rsid w:val="001E293C"/>
    <w:rsid w:val="001E2C9F"/>
    <w:rsid w:val="001E41B9"/>
    <w:rsid w:val="001E41E3"/>
    <w:rsid w:val="001E4E28"/>
    <w:rsid w:val="001E6BCB"/>
    <w:rsid w:val="001E6BDE"/>
    <w:rsid w:val="001E72AF"/>
    <w:rsid w:val="001E7413"/>
    <w:rsid w:val="001E7A9A"/>
    <w:rsid w:val="001F07E3"/>
    <w:rsid w:val="001F12E2"/>
    <w:rsid w:val="001F1970"/>
    <w:rsid w:val="001F21E7"/>
    <w:rsid w:val="001F2AF0"/>
    <w:rsid w:val="001F2B14"/>
    <w:rsid w:val="001F2F8C"/>
    <w:rsid w:val="001F3479"/>
    <w:rsid w:val="001F385A"/>
    <w:rsid w:val="001F39FD"/>
    <w:rsid w:val="001F4EBF"/>
    <w:rsid w:val="001F503D"/>
    <w:rsid w:val="001F54C6"/>
    <w:rsid w:val="001F605D"/>
    <w:rsid w:val="001F71F7"/>
    <w:rsid w:val="00201680"/>
    <w:rsid w:val="00201791"/>
    <w:rsid w:val="0020276E"/>
    <w:rsid w:val="00202D37"/>
    <w:rsid w:val="00204780"/>
    <w:rsid w:val="0020484F"/>
    <w:rsid w:val="002048B9"/>
    <w:rsid w:val="00204910"/>
    <w:rsid w:val="00204AD8"/>
    <w:rsid w:val="00204F87"/>
    <w:rsid w:val="00205266"/>
    <w:rsid w:val="00205AA6"/>
    <w:rsid w:val="00205E5C"/>
    <w:rsid w:val="00206042"/>
    <w:rsid w:val="00206864"/>
    <w:rsid w:val="002070FE"/>
    <w:rsid w:val="00207774"/>
    <w:rsid w:val="0021054D"/>
    <w:rsid w:val="002107EF"/>
    <w:rsid w:val="002108CA"/>
    <w:rsid w:val="002118B7"/>
    <w:rsid w:val="00212B22"/>
    <w:rsid w:val="002137B9"/>
    <w:rsid w:val="00214285"/>
    <w:rsid w:val="002149C2"/>
    <w:rsid w:val="00214CE6"/>
    <w:rsid w:val="00214DD2"/>
    <w:rsid w:val="00214F90"/>
    <w:rsid w:val="00215378"/>
    <w:rsid w:val="00215702"/>
    <w:rsid w:val="00216A3B"/>
    <w:rsid w:val="00216F1A"/>
    <w:rsid w:val="00217896"/>
    <w:rsid w:val="00217ABB"/>
    <w:rsid w:val="00217C65"/>
    <w:rsid w:val="00220785"/>
    <w:rsid w:val="00220A59"/>
    <w:rsid w:val="00220B43"/>
    <w:rsid w:val="00221666"/>
    <w:rsid w:val="00221A01"/>
    <w:rsid w:val="00221AB0"/>
    <w:rsid w:val="00221B6E"/>
    <w:rsid w:val="00221FFB"/>
    <w:rsid w:val="00222358"/>
    <w:rsid w:val="002224CF"/>
    <w:rsid w:val="002225C3"/>
    <w:rsid w:val="002227B3"/>
    <w:rsid w:val="002228F0"/>
    <w:rsid w:val="00223649"/>
    <w:rsid w:val="00224A65"/>
    <w:rsid w:val="00224B13"/>
    <w:rsid w:val="00224BE9"/>
    <w:rsid w:val="002256B7"/>
    <w:rsid w:val="002264A7"/>
    <w:rsid w:val="002278DD"/>
    <w:rsid w:val="00227BF7"/>
    <w:rsid w:val="00230074"/>
    <w:rsid w:val="00230FFD"/>
    <w:rsid w:val="00231021"/>
    <w:rsid w:val="0023198C"/>
    <w:rsid w:val="00233133"/>
    <w:rsid w:val="00233322"/>
    <w:rsid w:val="00234CB7"/>
    <w:rsid w:val="00235715"/>
    <w:rsid w:val="00235941"/>
    <w:rsid w:val="00235944"/>
    <w:rsid w:val="00235A6F"/>
    <w:rsid w:val="002365BA"/>
    <w:rsid w:val="00236A36"/>
    <w:rsid w:val="00236AC5"/>
    <w:rsid w:val="00236F21"/>
    <w:rsid w:val="00237008"/>
    <w:rsid w:val="00237501"/>
    <w:rsid w:val="002400C6"/>
    <w:rsid w:val="002402C0"/>
    <w:rsid w:val="00240457"/>
    <w:rsid w:val="00240EF4"/>
    <w:rsid w:val="00241290"/>
    <w:rsid w:val="002417D9"/>
    <w:rsid w:val="00241BDE"/>
    <w:rsid w:val="002424A2"/>
    <w:rsid w:val="00242768"/>
    <w:rsid w:val="00244261"/>
    <w:rsid w:val="00244BD1"/>
    <w:rsid w:val="00244C05"/>
    <w:rsid w:val="002454E1"/>
    <w:rsid w:val="00245BE8"/>
    <w:rsid w:val="00245C8B"/>
    <w:rsid w:val="002463B4"/>
    <w:rsid w:val="00246539"/>
    <w:rsid w:val="00247DAE"/>
    <w:rsid w:val="00247DB5"/>
    <w:rsid w:val="00247E4A"/>
    <w:rsid w:val="00247F9D"/>
    <w:rsid w:val="002509A5"/>
    <w:rsid w:val="0025111D"/>
    <w:rsid w:val="00251304"/>
    <w:rsid w:val="00251444"/>
    <w:rsid w:val="0025232D"/>
    <w:rsid w:val="002528F9"/>
    <w:rsid w:val="00252BA1"/>
    <w:rsid w:val="0025350A"/>
    <w:rsid w:val="0025355C"/>
    <w:rsid w:val="002543A8"/>
    <w:rsid w:val="002552CA"/>
    <w:rsid w:val="00256DD3"/>
    <w:rsid w:val="00256F70"/>
    <w:rsid w:val="0026015F"/>
    <w:rsid w:val="00260C55"/>
    <w:rsid w:val="00260C77"/>
    <w:rsid w:val="00262C86"/>
    <w:rsid w:val="002632EB"/>
    <w:rsid w:val="002633EC"/>
    <w:rsid w:val="0026365B"/>
    <w:rsid w:val="0026367D"/>
    <w:rsid w:val="00263C45"/>
    <w:rsid w:val="00263CF0"/>
    <w:rsid w:val="00266182"/>
    <w:rsid w:val="002667B2"/>
    <w:rsid w:val="00266929"/>
    <w:rsid w:val="00266C2B"/>
    <w:rsid w:val="00266D87"/>
    <w:rsid w:val="0026731E"/>
    <w:rsid w:val="00270214"/>
    <w:rsid w:val="0027060F"/>
    <w:rsid w:val="002709ED"/>
    <w:rsid w:val="00270F61"/>
    <w:rsid w:val="0027135E"/>
    <w:rsid w:val="002717E5"/>
    <w:rsid w:val="00271BD4"/>
    <w:rsid w:val="00273824"/>
    <w:rsid w:val="00273B98"/>
    <w:rsid w:val="002746FA"/>
    <w:rsid w:val="00275088"/>
    <w:rsid w:val="002757ED"/>
    <w:rsid w:val="0027591F"/>
    <w:rsid w:val="002759E4"/>
    <w:rsid w:val="00276D29"/>
    <w:rsid w:val="0028022B"/>
    <w:rsid w:val="002805B6"/>
    <w:rsid w:val="00281088"/>
    <w:rsid w:val="002813C9"/>
    <w:rsid w:val="0028182A"/>
    <w:rsid w:val="00281E3C"/>
    <w:rsid w:val="00281E52"/>
    <w:rsid w:val="00282B55"/>
    <w:rsid w:val="00283E3D"/>
    <w:rsid w:val="0028437D"/>
    <w:rsid w:val="00285131"/>
    <w:rsid w:val="0028530E"/>
    <w:rsid w:val="0028555C"/>
    <w:rsid w:val="002859D5"/>
    <w:rsid w:val="00285B30"/>
    <w:rsid w:val="00285F40"/>
    <w:rsid w:val="002866D1"/>
    <w:rsid w:val="0028708A"/>
    <w:rsid w:val="00287122"/>
    <w:rsid w:val="0028741B"/>
    <w:rsid w:val="00290082"/>
    <w:rsid w:val="00290B90"/>
    <w:rsid w:val="002912A9"/>
    <w:rsid w:val="002918BF"/>
    <w:rsid w:val="00293033"/>
    <w:rsid w:val="00294024"/>
    <w:rsid w:val="00294C06"/>
    <w:rsid w:val="002951F5"/>
    <w:rsid w:val="00295311"/>
    <w:rsid w:val="0029551B"/>
    <w:rsid w:val="00296450"/>
    <w:rsid w:val="002969F2"/>
    <w:rsid w:val="00296F36"/>
    <w:rsid w:val="002A2080"/>
    <w:rsid w:val="002A2572"/>
    <w:rsid w:val="002A30D1"/>
    <w:rsid w:val="002A3220"/>
    <w:rsid w:val="002A3447"/>
    <w:rsid w:val="002A3B53"/>
    <w:rsid w:val="002A3E2E"/>
    <w:rsid w:val="002A50F4"/>
    <w:rsid w:val="002A5C52"/>
    <w:rsid w:val="002A5FCB"/>
    <w:rsid w:val="002A64CD"/>
    <w:rsid w:val="002A6D64"/>
    <w:rsid w:val="002A7307"/>
    <w:rsid w:val="002A7C08"/>
    <w:rsid w:val="002B0025"/>
    <w:rsid w:val="002B0B09"/>
    <w:rsid w:val="002B10C9"/>
    <w:rsid w:val="002B14AE"/>
    <w:rsid w:val="002B1614"/>
    <w:rsid w:val="002B18D4"/>
    <w:rsid w:val="002B1DB2"/>
    <w:rsid w:val="002B26E7"/>
    <w:rsid w:val="002B3373"/>
    <w:rsid w:val="002B35DE"/>
    <w:rsid w:val="002B38BB"/>
    <w:rsid w:val="002B3FBB"/>
    <w:rsid w:val="002B537E"/>
    <w:rsid w:val="002B5917"/>
    <w:rsid w:val="002B5B72"/>
    <w:rsid w:val="002B5B98"/>
    <w:rsid w:val="002B6353"/>
    <w:rsid w:val="002B639C"/>
    <w:rsid w:val="002B6457"/>
    <w:rsid w:val="002B6CEC"/>
    <w:rsid w:val="002B6E11"/>
    <w:rsid w:val="002C0DF3"/>
    <w:rsid w:val="002C1E89"/>
    <w:rsid w:val="002C2083"/>
    <w:rsid w:val="002C26FC"/>
    <w:rsid w:val="002C297A"/>
    <w:rsid w:val="002C2EC3"/>
    <w:rsid w:val="002C3B66"/>
    <w:rsid w:val="002C3BC2"/>
    <w:rsid w:val="002C3D13"/>
    <w:rsid w:val="002C5326"/>
    <w:rsid w:val="002C5484"/>
    <w:rsid w:val="002C64AB"/>
    <w:rsid w:val="002C64FB"/>
    <w:rsid w:val="002C7CC5"/>
    <w:rsid w:val="002C7FD7"/>
    <w:rsid w:val="002D0808"/>
    <w:rsid w:val="002D0975"/>
    <w:rsid w:val="002D099B"/>
    <w:rsid w:val="002D0E84"/>
    <w:rsid w:val="002D0F33"/>
    <w:rsid w:val="002D200B"/>
    <w:rsid w:val="002D21C8"/>
    <w:rsid w:val="002D2497"/>
    <w:rsid w:val="002D2F5D"/>
    <w:rsid w:val="002D2FCB"/>
    <w:rsid w:val="002D3A8B"/>
    <w:rsid w:val="002D3F1C"/>
    <w:rsid w:val="002D45F6"/>
    <w:rsid w:val="002D46C7"/>
    <w:rsid w:val="002D599C"/>
    <w:rsid w:val="002D5B89"/>
    <w:rsid w:val="002D5C89"/>
    <w:rsid w:val="002D5FC4"/>
    <w:rsid w:val="002D6AE9"/>
    <w:rsid w:val="002D78FC"/>
    <w:rsid w:val="002D7A61"/>
    <w:rsid w:val="002D7ED4"/>
    <w:rsid w:val="002D7F19"/>
    <w:rsid w:val="002E09F2"/>
    <w:rsid w:val="002E10ED"/>
    <w:rsid w:val="002E16B5"/>
    <w:rsid w:val="002E18C1"/>
    <w:rsid w:val="002E2145"/>
    <w:rsid w:val="002E294B"/>
    <w:rsid w:val="002E2E94"/>
    <w:rsid w:val="002E3921"/>
    <w:rsid w:val="002E3ED2"/>
    <w:rsid w:val="002E4558"/>
    <w:rsid w:val="002E4E75"/>
    <w:rsid w:val="002E6666"/>
    <w:rsid w:val="002E680E"/>
    <w:rsid w:val="002E6DA1"/>
    <w:rsid w:val="002E7399"/>
    <w:rsid w:val="002E76D5"/>
    <w:rsid w:val="002F08AB"/>
    <w:rsid w:val="002F0F17"/>
    <w:rsid w:val="002F14BD"/>
    <w:rsid w:val="002F218E"/>
    <w:rsid w:val="002F26BF"/>
    <w:rsid w:val="002F29D7"/>
    <w:rsid w:val="002F30F6"/>
    <w:rsid w:val="002F367A"/>
    <w:rsid w:val="002F42C4"/>
    <w:rsid w:val="002F4322"/>
    <w:rsid w:val="002F59DF"/>
    <w:rsid w:val="002F621E"/>
    <w:rsid w:val="002F64A4"/>
    <w:rsid w:val="002F6AC8"/>
    <w:rsid w:val="002F6E79"/>
    <w:rsid w:val="002F7093"/>
    <w:rsid w:val="002F7815"/>
    <w:rsid w:val="002F78AA"/>
    <w:rsid w:val="002F7BBC"/>
    <w:rsid w:val="003003F7"/>
    <w:rsid w:val="003004FE"/>
    <w:rsid w:val="00301A61"/>
    <w:rsid w:val="00301E6C"/>
    <w:rsid w:val="0030231C"/>
    <w:rsid w:val="003027ED"/>
    <w:rsid w:val="0030287A"/>
    <w:rsid w:val="00302C17"/>
    <w:rsid w:val="003032FC"/>
    <w:rsid w:val="00303339"/>
    <w:rsid w:val="0030415F"/>
    <w:rsid w:val="003044FC"/>
    <w:rsid w:val="00304AF4"/>
    <w:rsid w:val="003058FB"/>
    <w:rsid w:val="003059C9"/>
    <w:rsid w:val="00305CF9"/>
    <w:rsid w:val="00306595"/>
    <w:rsid w:val="003067BD"/>
    <w:rsid w:val="00307266"/>
    <w:rsid w:val="00307874"/>
    <w:rsid w:val="00307C42"/>
    <w:rsid w:val="0031072C"/>
    <w:rsid w:val="00310D15"/>
    <w:rsid w:val="00311B3A"/>
    <w:rsid w:val="00311E8B"/>
    <w:rsid w:val="0031214F"/>
    <w:rsid w:val="00312860"/>
    <w:rsid w:val="00312DC6"/>
    <w:rsid w:val="00313071"/>
    <w:rsid w:val="00313C7E"/>
    <w:rsid w:val="00313CE7"/>
    <w:rsid w:val="0031412C"/>
    <w:rsid w:val="003147F2"/>
    <w:rsid w:val="003149B3"/>
    <w:rsid w:val="00314E91"/>
    <w:rsid w:val="00315A35"/>
    <w:rsid w:val="00316639"/>
    <w:rsid w:val="0031742B"/>
    <w:rsid w:val="0031782C"/>
    <w:rsid w:val="00317941"/>
    <w:rsid w:val="00317C39"/>
    <w:rsid w:val="00317D95"/>
    <w:rsid w:val="0032136F"/>
    <w:rsid w:val="003214F4"/>
    <w:rsid w:val="00321F32"/>
    <w:rsid w:val="00322A65"/>
    <w:rsid w:val="00323606"/>
    <w:rsid w:val="00323E2C"/>
    <w:rsid w:val="00323F20"/>
    <w:rsid w:val="0032521C"/>
    <w:rsid w:val="0032555A"/>
    <w:rsid w:val="003258DE"/>
    <w:rsid w:val="00325FAE"/>
    <w:rsid w:val="0032776A"/>
    <w:rsid w:val="00327B32"/>
    <w:rsid w:val="00327BA9"/>
    <w:rsid w:val="0033011D"/>
    <w:rsid w:val="0033152E"/>
    <w:rsid w:val="00331BED"/>
    <w:rsid w:val="00331CE0"/>
    <w:rsid w:val="00331E23"/>
    <w:rsid w:val="0033260D"/>
    <w:rsid w:val="00332979"/>
    <w:rsid w:val="00332E25"/>
    <w:rsid w:val="00333CAB"/>
    <w:rsid w:val="00333D61"/>
    <w:rsid w:val="0033440B"/>
    <w:rsid w:val="00334D4F"/>
    <w:rsid w:val="0033519C"/>
    <w:rsid w:val="0033603A"/>
    <w:rsid w:val="0033603C"/>
    <w:rsid w:val="00337264"/>
    <w:rsid w:val="00337CAA"/>
    <w:rsid w:val="00340381"/>
    <w:rsid w:val="00340AF3"/>
    <w:rsid w:val="00340B2C"/>
    <w:rsid w:val="00341F68"/>
    <w:rsid w:val="0034244F"/>
    <w:rsid w:val="003435AE"/>
    <w:rsid w:val="00344982"/>
    <w:rsid w:val="00344B54"/>
    <w:rsid w:val="00345C01"/>
    <w:rsid w:val="00347263"/>
    <w:rsid w:val="003472D4"/>
    <w:rsid w:val="003472E3"/>
    <w:rsid w:val="00347889"/>
    <w:rsid w:val="00347AF5"/>
    <w:rsid w:val="00347C5E"/>
    <w:rsid w:val="00350469"/>
    <w:rsid w:val="003512A4"/>
    <w:rsid w:val="003512EC"/>
    <w:rsid w:val="00351335"/>
    <w:rsid w:val="00351BA2"/>
    <w:rsid w:val="00351D7A"/>
    <w:rsid w:val="00351DE7"/>
    <w:rsid w:val="00353D90"/>
    <w:rsid w:val="00353EB3"/>
    <w:rsid w:val="003540AF"/>
    <w:rsid w:val="0035416E"/>
    <w:rsid w:val="003545D5"/>
    <w:rsid w:val="0035563D"/>
    <w:rsid w:val="003561A5"/>
    <w:rsid w:val="003563BF"/>
    <w:rsid w:val="00357459"/>
    <w:rsid w:val="00357636"/>
    <w:rsid w:val="00357A5A"/>
    <w:rsid w:val="00360457"/>
    <w:rsid w:val="003611AF"/>
    <w:rsid w:val="0036181A"/>
    <w:rsid w:val="00361B25"/>
    <w:rsid w:val="00362367"/>
    <w:rsid w:val="00362CB9"/>
    <w:rsid w:val="00362EB6"/>
    <w:rsid w:val="00363A98"/>
    <w:rsid w:val="00363ADB"/>
    <w:rsid w:val="00364230"/>
    <w:rsid w:val="003643E8"/>
    <w:rsid w:val="00364787"/>
    <w:rsid w:val="003648C6"/>
    <w:rsid w:val="00365B33"/>
    <w:rsid w:val="003664B0"/>
    <w:rsid w:val="00366B7F"/>
    <w:rsid w:val="00366EF4"/>
    <w:rsid w:val="003673A0"/>
    <w:rsid w:val="00367EF7"/>
    <w:rsid w:val="00370428"/>
    <w:rsid w:val="0037060C"/>
    <w:rsid w:val="00371571"/>
    <w:rsid w:val="00371C35"/>
    <w:rsid w:val="00371FC2"/>
    <w:rsid w:val="00372570"/>
    <w:rsid w:val="003740C4"/>
    <w:rsid w:val="00374B7E"/>
    <w:rsid w:val="00375661"/>
    <w:rsid w:val="00375E16"/>
    <w:rsid w:val="00376035"/>
    <w:rsid w:val="0037610B"/>
    <w:rsid w:val="003768C3"/>
    <w:rsid w:val="00376D82"/>
    <w:rsid w:val="00376F54"/>
    <w:rsid w:val="0037737E"/>
    <w:rsid w:val="003778D2"/>
    <w:rsid w:val="00377FED"/>
    <w:rsid w:val="00380003"/>
    <w:rsid w:val="003806EA"/>
    <w:rsid w:val="0038177E"/>
    <w:rsid w:val="00382088"/>
    <w:rsid w:val="003824EE"/>
    <w:rsid w:val="00382CB5"/>
    <w:rsid w:val="00382DC7"/>
    <w:rsid w:val="00382E0E"/>
    <w:rsid w:val="00382F89"/>
    <w:rsid w:val="00383DAF"/>
    <w:rsid w:val="00383FB7"/>
    <w:rsid w:val="00384551"/>
    <w:rsid w:val="003854D6"/>
    <w:rsid w:val="003859E9"/>
    <w:rsid w:val="00386417"/>
    <w:rsid w:val="00386D06"/>
    <w:rsid w:val="00386DA0"/>
    <w:rsid w:val="00386FC3"/>
    <w:rsid w:val="003871AC"/>
    <w:rsid w:val="003902EC"/>
    <w:rsid w:val="003903E5"/>
    <w:rsid w:val="00390A6A"/>
    <w:rsid w:val="00390E31"/>
    <w:rsid w:val="00390EA9"/>
    <w:rsid w:val="00391212"/>
    <w:rsid w:val="003915F7"/>
    <w:rsid w:val="00392205"/>
    <w:rsid w:val="00393FFE"/>
    <w:rsid w:val="00394696"/>
    <w:rsid w:val="00394EAE"/>
    <w:rsid w:val="00395569"/>
    <w:rsid w:val="00395C04"/>
    <w:rsid w:val="00395CC7"/>
    <w:rsid w:val="003961D7"/>
    <w:rsid w:val="00396D91"/>
    <w:rsid w:val="00397584"/>
    <w:rsid w:val="00397A94"/>
    <w:rsid w:val="00397B4B"/>
    <w:rsid w:val="003A0411"/>
    <w:rsid w:val="003A0AF1"/>
    <w:rsid w:val="003A1D62"/>
    <w:rsid w:val="003A22E4"/>
    <w:rsid w:val="003A24BE"/>
    <w:rsid w:val="003A2541"/>
    <w:rsid w:val="003A2E7E"/>
    <w:rsid w:val="003A39B8"/>
    <w:rsid w:val="003A3CA6"/>
    <w:rsid w:val="003A4112"/>
    <w:rsid w:val="003A4150"/>
    <w:rsid w:val="003A45FD"/>
    <w:rsid w:val="003A4CB1"/>
    <w:rsid w:val="003A588C"/>
    <w:rsid w:val="003A6003"/>
    <w:rsid w:val="003A60AA"/>
    <w:rsid w:val="003A6737"/>
    <w:rsid w:val="003A6D16"/>
    <w:rsid w:val="003A7C07"/>
    <w:rsid w:val="003B00E6"/>
    <w:rsid w:val="003B0417"/>
    <w:rsid w:val="003B051C"/>
    <w:rsid w:val="003B0B48"/>
    <w:rsid w:val="003B2B02"/>
    <w:rsid w:val="003B2B64"/>
    <w:rsid w:val="003B2FC1"/>
    <w:rsid w:val="003B387F"/>
    <w:rsid w:val="003B40FE"/>
    <w:rsid w:val="003B48F7"/>
    <w:rsid w:val="003B49C2"/>
    <w:rsid w:val="003B51A7"/>
    <w:rsid w:val="003B5328"/>
    <w:rsid w:val="003B5360"/>
    <w:rsid w:val="003B580B"/>
    <w:rsid w:val="003B5868"/>
    <w:rsid w:val="003B66DF"/>
    <w:rsid w:val="003B6E69"/>
    <w:rsid w:val="003B6FA6"/>
    <w:rsid w:val="003B7FC6"/>
    <w:rsid w:val="003C0720"/>
    <w:rsid w:val="003C0BCF"/>
    <w:rsid w:val="003C109A"/>
    <w:rsid w:val="003C185F"/>
    <w:rsid w:val="003C18D3"/>
    <w:rsid w:val="003C2275"/>
    <w:rsid w:val="003C282E"/>
    <w:rsid w:val="003C2EA8"/>
    <w:rsid w:val="003C2FA6"/>
    <w:rsid w:val="003C3427"/>
    <w:rsid w:val="003C3651"/>
    <w:rsid w:val="003C3C69"/>
    <w:rsid w:val="003C3FBD"/>
    <w:rsid w:val="003C4046"/>
    <w:rsid w:val="003C69DC"/>
    <w:rsid w:val="003C6D32"/>
    <w:rsid w:val="003C77FA"/>
    <w:rsid w:val="003D0CC8"/>
    <w:rsid w:val="003D0E0C"/>
    <w:rsid w:val="003D18D3"/>
    <w:rsid w:val="003D1E21"/>
    <w:rsid w:val="003D245D"/>
    <w:rsid w:val="003D2CFA"/>
    <w:rsid w:val="003D3ACD"/>
    <w:rsid w:val="003D3E81"/>
    <w:rsid w:val="003D3F97"/>
    <w:rsid w:val="003D58A0"/>
    <w:rsid w:val="003D5B01"/>
    <w:rsid w:val="003D5FC2"/>
    <w:rsid w:val="003D602E"/>
    <w:rsid w:val="003D6BB7"/>
    <w:rsid w:val="003D7C1C"/>
    <w:rsid w:val="003E0842"/>
    <w:rsid w:val="003E140C"/>
    <w:rsid w:val="003E1BE3"/>
    <w:rsid w:val="003E2B98"/>
    <w:rsid w:val="003E39C6"/>
    <w:rsid w:val="003E3C1A"/>
    <w:rsid w:val="003E3FD6"/>
    <w:rsid w:val="003E60CE"/>
    <w:rsid w:val="003E6286"/>
    <w:rsid w:val="003E67C6"/>
    <w:rsid w:val="003E6DBD"/>
    <w:rsid w:val="003E6FA7"/>
    <w:rsid w:val="003E734A"/>
    <w:rsid w:val="003E73FE"/>
    <w:rsid w:val="003E7D18"/>
    <w:rsid w:val="003F0E64"/>
    <w:rsid w:val="003F1862"/>
    <w:rsid w:val="003F1CC2"/>
    <w:rsid w:val="003F1CCD"/>
    <w:rsid w:val="003F4022"/>
    <w:rsid w:val="003F4FFA"/>
    <w:rsid w:val="003F5244"/>
    <w:rsid w:val="003F579F"/>
    <w:rsid w:val="003F6103"/>
    <w:rsid w:val="003F65DB"/>
    <w:rsid w:val="003F67D5"/>
    <w:rsid w:val="003F685D"/>
    <w:rsid w:val="003F6C0B"/>
    <w:rsid w:val="003F719B"/>
    <w:rsid w:val="003F7640"/>
    <w:rsid w:val="003F7AC7"/>
    <w:rsid w:val="00400C6B"/>
    <w:rsid w:val="00400F77"/>
    <w:rsid w:val="0040167B"/>
    <w:rsid w:val="004019E8"/>
    <w:rsid w:val="00401D69"/>
    <w:rsid w:val="00401F57"/>
    <w:rsid w:val="00402A26"/>
    <w:rsid w:val="00402FEC"/>
    <w:rsid w:val="004033CF"/>
    <w:rsid w:val="004041B0"/>
    <w:rsid w:val="00404239"/>
    <w:rsid w:val="00404EB0"/>
    <w:rsid w:val="00405202"/>
    <w:rsid w:val="004056F1"/>
    <w:rsid w:val="0040571F"/>
    <w:rsid w:val="0040574B"/>
    <w:rsid w:val="00406045"/>
    <w:rsid w:val="00406952"/>
    <w:rsid w:val="004073EC"/>
    <w:rsid w:val="00407468"/>
    <w:rsid w:val="00407909"/>
    <w:rsid w:val="00410D13"/>
    <w:rsid w:val="00411CA8"/>
    <w:rsid w:val="00411CC6"/>
    <w:rsid w:val="00412574"/>
    <w:rsid w:val="00412934"/>
    <w:rsid w:val="00412BE8"/>
    <w:rsid w:val="00412DA7"/>
    <w:rsid w:val="00413965"/>
    <w:rsid w:val="004139FF"/>
    <w:rsid w:val="00413EA2"/>
    <w:rsid w:val="00413EF1"/>
    <w:rsid w:val="00414A6F"/>
    <w:rsid w:val="00415077"/>
    <w:rsid w:val="004150F0"/>
    <w:rsid w:val="004158C1"/>
    <w:rsid w:val="00415D8F"/>
    <w:rsid w:val="0041632B"/>
    <w:rsid w:val="00416D7F"/>
    <w:rsid w:val="00416E11"/>
    <w:rsid w:val="00417070"/>
    <w:rsid w:val="004174C7"/>
    <w:rsid w:val="004179DC"/>
    <w:rsid w:val="004179E6"/>
    <w:rsid w:val="00417EFA"/>
    <w:rsid w:val="00420328"/>
    <w:rsid w:val="00420D96"/>
    <w:rsid w:val="0042128C"/>
    <w:rsid w:val="004225C3"/>
    <w:rsid w:val="0042279E"/>
    <w:rsid w:val="00422FA5"/>
    <w:rsid w:val="004235F6"/>
    <w:rsid w:val="004239C7"/>
    <w:rsid w:val="00424E86"/>
    <w:rsid w:val="0042509D"/>
    <w:rsid w:val="004250EF"/>
    <w:rsid w:val="004253F5"/>
    <w:rsid w:val="0042550B"/>
    <w:rsid w:val="00425E3F"/>
    <w:rsid w:val="004266F8"/>
    <w:rsid w:val="0043041E"/>
    <w:rsid w:val="00430A91"/>
    <w:rsid w:val="004313DA"/>
    <w:rsid w:val="0043165A"/>
    <w:rsid w:val="0043173F"/>
    <w:rsid w:val="004334E5"/>
    <w:rsid w:val="00433792"/>
    <w:rsid w:val="00433962"/>
    <w:rsid w:val="00433BB1"/>
    <w:rsid w:val="00433C2C"/>
    <w:rsid w:val="00433F7A"/>
    <w:rsid w:val="0043402B"/>
    <w:rsid w:val="0043464C"/>
    <w:rsid w:val="0043493F"/>
    <w:rsid w:val="00434D28"/>
    <w:rsid w:val="00435186"/>
    <w:rsid w:val="00436935"/>
    <w:rsid w:val="0043747C"/>
    <w:rsid w:val="00437920"/>
    <w:rsid w:val="004400BF"/>
    <w:rsid w:val="0044053C"/>
    <w:rsid w:val="00440D2A"/>
    <w:rsid w:val="0044198A"/>
    <w:rsid w:val="00442060"/>
    <w:rsid w:val="004421FB"/>
    <w:rsid w:val="004424D4"/>
    <w:rsid w:val="0044394B"/>
    <w:rsid w:val="00443ECC"/>
    <w:rsid w:val="00443F27"/>
    <w:rsid w:val="00443F64"/>
    <w:rsid w:val="004443D6"/>
    <w:rsid w:val="0044452D"/>
    <w:rsid w:val="004448A5"/>
    <w:rsid w:val="00444EB8"/>
    <w:rsid w:val="004456DE"/>
    <w:rsid w:val="004458D2"/>
    <w:rsid w:val="00445A8D"/>
    <w:rsid w:val="00445DDC"/>
    <w:rsid w:val="00445E5A"/>
    <w:rsid w:val="00445E71"/>
    <w:rsid w:val="0044683C"/>
    <w:rsid w:val="00446C11"/>
    <w:rsid w:val="004476C2"/>
    <w:rsid w:val="004476E9"/>
    <w:rsid w:val="004501A2"/>
    <w:rsid w:val="00450AF0"/>
    <w:rsid w:val="00450B7A"/>
    <w:rsid w:val="0045104D"/>
    <w:rsid w:val="0045119E"/>
    <w:rsid w:val="0045143C"/>
    <w:rsid w:val="00451440"/>
    <w:rsid w:val="004523D0"/>
    <w:rsid w:val="004533B2"/>
    <w:rsid w:val="00453922"/>
    <w:rsid w:val="00454753"/>
    <w:rsid w:val="00454768"/>
    <w:rsid w:val="004551FE"/>
    <w:rsid w:val="004554EB"/>
    <w:rsid w:val="00455B36"/>
    <w:rsid w:val="00456F7C"/>
    <w:rsid w:val="0045742C"/>
    <w:rsid w:val="00457E2A"/>
    <w:rsid w:val="00457E5C"/>
    <w:rsid w:val="0046096F"/>
    <w:rsid w:val="00460CAE"/>
    <w:rsid w:val="00461578"/>
    <w:rsid w:val="004619F6"/>
    <w:rsid w:val="004622F3"/>
    <w:rsid w:val="0046263B"/>
    <w:rsid w:val="004635B9"/>
    <w:rsid w:val="0046381C"/>
    <w:rsid w:val="00464AE3"/>
    <w:rsid w:val="00465077"/>
    <w:rsid w:val="00465392"/>
    <w:rsid w:val="0046632C"/>
    <w:rsid w:val="00466593"/>
    <w:rsid w:val="00466D22"/>
    <w:rsid w:val="00467143"/>
    <w:rsid w:val="00467A9A"/>
    <w:rsid w:val="00467FA8"/>
    <w:rsid w:val="00471040"/>
    <w:rsid w:val="00471439"/>
    <w:rsid w:val="004715C1"/>
    <w:rsid w:val="00471DF8"/>
    <w:rsid w:val="0047230A"/>
    <w:rsid w:val="00472F0D"/>
    <w:rsid w:val="00473D56"/>
    <w:rsid w:val="00473F2B"/>
    <w:rsid w:val="00473FC6"/>
    <w:rsid w:val="00474313"/>
    <w:rsid w:val="004744FB"/>
    <w:rsid w:val="004754E5"/>
    <w:rsid w:val="004764B1"/>
    <w:rsid w:val="00476CC1"/>
    <w:rsid w:val="00477472"/>
    <w:rsid w:val="00477D7A"/>
    <w:rsid w:val="0048068A"/>
    <w:rsid w:val="0048150F"/>
    <w:rsid w:val="00482875"/>
    <w:rsid w:val="0048305F"/>
    <w:rsid w:val="004830FF"/>
    <w:rsid w:val="0048330A"/>
    <w:rsid w:val="00483B48"/>
    <w:rsid w:val="00483EF9"/>
    <w:rsid w:val="00484611"/>
    <w:rsid w:val="00484BCD"/>
    <w:rsid w:val="00485159"/>
    <w:rsid w:val="004857FE"/>
    <w:rsid w:val="00485E6B"/>
    <w:rsid w:val="00486145"/>
    <w:rsid w:val="00487D68"/>
    <w:rsid w:val="00487EB1"/>
    <w:rsid w:val="00487F95"/>
    <w:rsid w:val="004908D8"/>
    <w:rsid w:val="00490A10"/>
    <w:rsid w:val="00491002"/>
    <w:rsid w:val="00491685"/>
    <w:rsid w:val="004920E6"/>
    <w:rsid w:val="00492FA1"/>
    <w:rsid w:val="00493962"/>
    <w:rsid w:val="00493BED"/>
    <w:rsid w:val="00493F8A"/>
    <w:rsid w:val="0049583C"/>
    <w:rsid w:val="00496531"/>
    <w:rsid w:val="0049686A"/>
    <w:rsid w:val="00496970"/>
    <w:rsid w:val="00496C0A"/>
    <w:rsid w:val="00497A02"/>
    <w:rsid w:val="00497DA0"/>
    <w:rsid w:val="00497EFD"/>
    <w:rsid w:val="004A0B7A"/>
    <w:rsid w:val="004A0CAD"/>
    <w:rsid w:val="004A1D26"/>
    <w:rsid w:val="004A280B"/>
    <w:rsid w:val="004A2C1B"/>
    <w:rsid w:val="004A2D20"/>
    <w:rsid w:val="004A36EA"/>
    <w:rsid w:val="004A3825"/>
    <w:rsid w:val="004A3DD7"/>
    <w:rsid w:val="004A41C1"/>
    <w:rsid w:val="004A41C7"/>
    <w:rsid w:val="004A422B"/>
    <w:rsid w:val="004A430F"/>
    <w:rsid w:val="004A50D1"/>
    <w:rsid w:val="004A617F"/>
    <w:rsid w:val="004A6F40"/>
    <w:rsid w:val="004B030E"/>
    <w:rsid w:val="004B04AB"/>
    <w:rsid w:val="004B0B03"/>
    <w:rsid w:val="004B0CE3"/>
    <w:rsid w:val="004B13C5"/>
    <w:rsid w:val="004B1BD7"/>
    <w:rsid w:val="004B1EEA"/>
    <w:rsid w:val="004B21CB"/>
    <w:rsid w:val="004B2238"/>
    <w:rsid w:val="004B282F"/>
    <w:rsid w:val="004B30D2"/>
    <w:rsid w:val="004B36B6"/>
    <w:rsid w:val="004B3B41"/>
    <w:rsid w:val="004B4412"/>
    <w:rsid w:val="004B4623"/>
    <w:rsid w:val="004B4D90"/>
    <w:rsid w:val="004B54DE"/>
    <w:rsid w:val="004B73B2"/>
    <w:rsid w:val="004B786B"/>
    <w:rsid w:val="004C0968"/>
    <w:rsid w:val="004C17E3"/>
    <w:rsid w:val="004C1EE1"/>
    <w:rsid w:val="004C270C"/>
    <w:rsid w:val="004C2C6A"/>
    <w:rsid w:val="004C2D36"/>
    <w:rsid w:val="004C39EB"/>
    <w:rsid w:val="004C3CE0"/>
    <w:rsid w:val="004C3D5A"/>
    <w:rsid w:val="004C4535"/>
    <w:rsid w:val="004C5D9B"/>
    <w:rsid w:val="004C5DBF"/>
    <w:rsid w:val="004C6910"/>
    <w:rsid w:val="004C759D"/>
    <w:rsid w:val="004C7649"/>
    <w:rsid w:val="004C76ED"/>
    <w:rsid w:val="004C7BA0"/>
    <w:rsid w:val="004D04D1"/>
    <w:rsid w:val="004D1154"/>
    <w:rsid w:val="004D11A1"/>
    <w:rsid w:val="004D1659"/>
    <w:rsid w:val="004D190F"/>
    <w:rsid w:val="004D299A"/>
    <w:rsid w:val="004D315D"/>
    <w:rsid w:val="004D4A84"/>
    <w:rsid w:val="004D4E63"/>
    <w:rsid w:val="004D55BE"/>
    <w:rsid w:val="004D5671"/>
    <w:rsid w:val="004D574C"/>
    <w:rsid w:val="004D59DE"/>
    <w:rsid w:val="004D5C9F"/>
    <w:rsid w:val="004D5F96"/>
    <w:rsid w:val="004D780A"/>
    <w:rsid w:val="004E040B"/>
    <w:rsid w:val="004E0BCC"/>
    <w:rsid w:val="004E2117"/>
    <w:rsid w:val="004E2C8A"/>
    <w:rsid w:val="004E3078"/>
    <w:rsid w:val="004E4649"/>
    <w:rsid w:val="004E4F94"/>
    <w:rsid w:val="004E4FC3"/>
    <w:rsid w:val="004E57D8"/>
    <w:rsid w:val="004E5AB8"/>
    <w:rsid w:val="004E6195"/>
    <w:rsid w:val="004E7426"/>
    <w:rsid w:val="004E7FA8"/>
    <w:rsid w:val="004F02B1"/>
    <w:rsid w:val="004F1782"/>
    <w:rsid w:val="004F1B37"/>
    <w:rsid w:val="004F25F1"/>
    <w:rsid w:val="004F30A5"/>
    <w:rsid w:val="004F33A6"/>
    <w:rsid w:val="004F3580"/>
    <w:rsid w:val="004F3E35"/>
    <w:rsid w:val="004F4A30"/>
    <w:rsid w:val="004F5872"/>
    <w:rsid w:val="004F599F"/>
    <w:rsid w:val="004F5CF2"/>
    <w:rsid w:val="004F64F0"/>
    <w:rsid w:val="004F7512"/>
    <w:rsid w:val="005010AD"/>
    <w:rsid w:val="00501235"/>
    <w:rsid w:val="00501547"/>
    <w:rsid w:val="00501791"/>
    <w:rsid w:val="00501EC0"/>
    <w:rsid w:val="00502402"/>
    <w:rsid w:val="005024C6"/>
    <w:rsid w:val="00502589"/>
    <w:rsid w:val="005025F9"/>
    <w:rsid w:val="00502F06"/>
    <w:rsid w:val="00502FD4"/>
    <w:rsid w:val="00503A40"/>
    <w:rsid w:val="00503A63"/>
    <w:rsid w:val="005042AE"/>
    <w:rsid w:val="00504D62"/>
    <w:rsid w:val="00505854"/>
    <w:rsid w:val="00506197"/>
    <w:rsid w:val="00506323"/>
    <w:rsid w:val="00506631"/>
    <w:rsid w:val="005108F3"/>
    <w:rsid w:val="00510B1B"/>
    <w:rsid w:val="005113A8"/>
    <w:rsid w:val="005120FC"/>
    <w:rsid w:val="005122E5"/>
    <w:rsid w:val="005125D8"/>
    <w:rsid w:val="005129B9"/>
    <w:rsid w:val="00512F24"/>
    <w:rsid w:val="00513024"/>
    <w:rsid w:val="005134E0"/>
    <w:rsid w:val="005134EC"/>
    <w:rsid w:val="005136FA"/>
    <w:rsid w:val="0051386C"/>
    <w:rsid w:val="00513A9C"/>
    <w:rsid w:val="0051469B"/>
    <w:rsid w:val="00515AE1"/>
    <w:rsid w:val="00515C92"/>
    <w:rsid w:val="00516286"/>
    <w:rsid w:val="005172BC"/>
    <w:rsid w:val="00517C17"/>
    <w:rsid w:val="00517F0D"/>
    <w:rsid w:val="0052024A"/>
    <w:rsid w:val="00521D35"/>
    <w:rsid w:val="005223C4"/>
    <w:rsid w:val="005224F3"/>
    <w:rsid w:val="0052258C"/>
    <w:rsid w:val="00522980"/>
    <w:rsid w:val="005230B0"/>
    <w:rsid w:val="00523A4B"/>
    <w:rsid w:val="00524609"/>
    <w:rsid w:val="00524FBF"/>
    <w:rsid w:val="00525088"/>
    <w:rsid w:val="00525091"/>
    <w:rsid w:val="0052514B"/>
    <w:rsid w:val="005252D1"/>
    <w:rsid w:val="005258F9"/>
    <w:rsid w:val="005263DF"/>
    <w:rsid w:val="00526677"/>
    <w:rsid w:val="00526757"/>
    <w:rsid w:val="00530194"/>
    <w:rsid w:val="005302EA"/>
    <w:rsid w:val="00530D73"/>
    <w:rsid w:val="005311CB"/>
    <w:rsid w:val="005318C5"/>
    <w:rsid w:val="00531F3F"/>
    <w:rsid w:val="005320F0"/>
    <w:rsid w:val="0053253D"/>
    <w:rsid w:val="00532E6B"/>
    <w:rsid w:val="00533A35"/>
    <w:rsid w:val="0053430F"/>
    <w:rsid w:val="005348F4"/>
    <w:rsid w:val="00534C4D"/>
    <w:rsid w:val="00535F92"/>
    <w:rsid w:val="00536D58"/>
    <w:rsid w:val="00536D8A"/>
    <w:rsid w:val="00537866"/>
    <w:rsid w:val="00537ECF"/>
    <w:rsid w:val="005405C0"/>
    <w:rsid w:val="0054060B"/>
    <w:rsid w:val="00540F4E"/>
    <w:rsid w:val="005413CB"/>
    <w:rsid w:val="00541A6D"/>
    <w:rsid w:val="00541BB5"/>
    <w:rsid w:val="00541E39"/>
    <w:rsid w:val="00542B10"/>
    <w:rsid w:val="00542CC2"/>
    <w:rsid w:val="0054307B"/>
    <w:rsid w:val="00543B9C"/>
    <w:rsid w:val="005440E3"/>
    <w:rsid w:val="00544E6A"/>
    <w:rsid w:val="00544F98"/>
    <w:rsid w:val="0054526C"/>
    <w:rsid w:val="00545B6B"/>
    <w:rsid w:val="00545DC2"/>
    <w:rsid w:val="00546ACF"/>
    <w:rsid w:val="00547004"/>
    <w:rsid w:val="0054732C"/>
    <w:rsid w:val="00547B03"/>
    <w:rsid w:val="00547DBD"/>
    <w:rsid w:val="00547E01"/>
    <w:rsid w:val="00550D1C"/>
    <w:rsid w:val="0055128E"/>
    <w:rsid w:val="0055151E"/>
    <w:rsid w:val="00551BBA"/>
    <w:rsid w:val="00551DD3"/>
    <w:rsid w:val="00551E70"/>
    <w:rsid w:val="00552875"/>
    <w:rsid w:val="005533D6"/>
    <w:rsid w:val="0055360C"/>
    <w:rsid w:val="005536BC"/>
    <w:rsid w:val="0055389F"/>
    <w:rsid w:val="0055417B"/>
    <w:rsid w:val="00554552"/>
    <w:rsid w:val="00554606"/>
    <w:rsid w:val="00554D0C"/>
    <w:rsid w:val="0055518E"/>
    <w:rsid w:val="00555F11"/>
    <w:rsid w:val="00556069"/>
    <w:rsid w:val="005564A7"/>
    <w:rsid w:val="00557182"/>
    <w:rsid w:val="00557992"/>
    <w:rsid w:val="00560009"/>
    <w:rsid w:val="00560574"/>
    <w:rsid w:val="005609B8"/>
    <w:rsid w:val="005612E8"/>
    <w:rsid w:val="00561762"/>
    <w:rsid w:val="00561A62"/>
    <w:rsid w:val="00562260"/>
    <w:rsid w:val="005626F9"/>
    <w:rsid w:val="00562933"/>
    <w:rsid w:val="00563165"/>
    <w:rsid w:val="00563450"/>
    <w:rsid w:val="005634CA"/>
    <w:rsid w:val="00563804"/>
    <w:rsid w:val="005640A0"/>
    <w:rsid w:val="00565099"/>
    <w:rsid w:val="0056543D"/>
    <w:rsid w:val="005665EC"/>
    <w:rsid w:val="005669F6"/>
    <w:rsid w:val="00566E3F"/>
    <w:rsid w:val="005706E5"/>
    <w:rsid w:val="005713A3"/>
    <w:rsid w:val="00571629"/>
    <w:rsid w:val="00572C4D"/>
    <w:rsid w:val="00573950"/>
    <w:rsid w:val="00573FCD"/>
    <w:rsid w:val="005740A7"/>
    <w:rsid w:val="00574617"/>
    <w:rsid w:val="005746BE"/>
    <w:rsid w:val="005748B6"/>
    <w:rsid w:val="005754DE"/>
    <w:rsid w:val="00575874"/>
    <w:rsid w:val="00575D4C"/>
    <w:rsid w:val="005761C3"/>
    <w:rsid w:val="00576A0D"/>
    <w:rsid w:val="00576C3B"/>
    <w:rsid w:val="00576DFD"/>
    <w:rsid w:val="00576EA8"/>
    <w:rsid w:val="00576F31"/>
    <w:rsid w:val="00580539"/>
    <w:rsid w:val="005807EA"/>
    <w:rsid w:val="0058098B"/>
    <w:rsid w:val="005812C9"/>
    <w:rsid w:val="00581E65"/>
    <w:rsid w:val="00582772"/>
    <w:rsid w:val="00583B34"/>
    <w:rsid w:val="005840CC"/>
    <w:rsid w:val="00584CDC"/>
    <w:rsid w:val="00584E5A"/>
    <w:rsid w:val="00585028"/>
    <w:rsid w:val="00585229"/>
    <w:rsid w:val="0058585F"/>
    <w:rsid w:val="00585E0C"/>
    <w:rsid w:val="005868AF"/>
    <w:rsid w:val="00586965"/>
    <w:rsid w:val="005911BD"/>
    <w:rsid w:val="00591C9B"/>
    <w:rsid w:val="005923FE"/>
    <w:rsid w:val="005924F0"/>
    <w:rsid w:val="005926BB"/>
    <w:rsid w:val="00592C62"/>
    <w:rsid w:val="0059304B"/>
    <w:rsid w:val="00593050"/>
    <w:rsid w:val="0059423C"/>
    <w:rsid w:val="00594271"/>
    <w:rsid w:val="0059479C"/>
    <w:rsid w:val="00594B49"/>
    <w:rsid w:val="00595B27"/>
    <w:rsid w:val="00595F44"/>
    <w:rsid w:val="00595FCB"/>
    <w:rsid w:val="0059649F"/>
    <w:rsid w:val="0059676A"/>
    <w:rsid w:val="0059754D"/>
    <w:rsid w:val="005979D9"/>
    <w:rsid w:val="005A0018"/>
    <w:rsid w:val="005A0B70"/>
    <w:rsid w:val="005A1A3B"/>
    <w:rsid w:val="005A2C33"/>
    <w:rsid w:val="005A2EB6"/>
    <w:rsid w:val="005A2F3E"/>
    <w:rsid w:val="005A2FCA"/>
    <w:rsid w:val="005A3A3F"/>
    <w:rsid w:val="005A441E"/>
    <w:rsid w:val="005A635F"/>
    <w:rsid w:val="005A658F"/>
    <w:rsid w:val="005A690E"/>
    <w:rsid w:val="005A6961"/>
    <w:rsid w:val="005A75C4"/>
    <w:rsid w:val="005A7ECC"/>
    <w:rsid w:val="005B0E28"/>
    <w:rsid w:val="005B1C51"/>
    <w:rsid w:val="005B2267"/>
    <w:rsid w:val="005B2C70"/>
    <w:rsid w:val="005B3B48"/>
    <w:rsid w:val="005B43F7"/>
    <w:rsid w:val="005B4AD9"/>
    <w:rsid w:val="005B4B33"/>
    <w:rsid w:val="005B53EF"/>
    <w:rsid w:val="005B5E68"/>
    <w:rsid w:val="005B66C4"/>
    <w:rsid w:val="005B6931"/>
    <w:rsid w:val="005B7313"/>
    <w:rsid w:val="005B7BD6"/>
    <w:rsid w:val="005B7BF5"/>
    <w:rsid w:val="005B7CEC"/>
    <w:rsid w:val="005B7E67"/>
    <w:rsid w:val="005C0F32"/>
    <w:rsid w:val="005C1126"/>
    <w:rsid w:val="005C2962"/>
    <w:rsid w:val="005C38F5"/>
    <w:rsid w:val="005C3F17"/>
    <w:rsid w:val="005C413E"/>
    <w:rsid w:val="005C439F"/>
    <w:rsid w:val="005C4569"/>
    <w:rsid w:val="005C477C"/>
    <w:rsid w:val="005C4C1E"/>
    <w:rsid w:val="005C4D0E"/>
    <w:rsid w:val="005C5437"/>
    <w:rsid w:val="005C5463"/>
    <w:rsid w:val="005C5F5B"/>
    <w:rsid w:val="005C60FC"/>
    <w:rsid w:val="005C6425"/>
    <w:rsid w:val="005C6EDD"/>
    <w:rsid w:val="005C7BF5"/>
    <w:rsid w:val="005D0274"/>
    <w:rsid w:val="005D07B7"/>
    <w:rsid w:val="005D07C1"/>
    <w:rsid w:val="005D07DC"/>
    <w:rsid w:val="005D14B9"/>
    <w:rsid w:val="005D1BEF"/>
    <w:rsid w:val="005D2E92"/>
    <w:rsid w:val="005D2F3B"/>
    <w:rsid w:val="005D3627"/>
    <w:rsid w:val="005D3BCA"/>
    <w:rsid w:val="005D428A"/>
    <w:rsid w:val="005D47BD"/>
    <w:rsid w:val="005D6E45"/>
    <w:rsid w:val="005D711C"/>
    <w:rsid w:val="005E1289"/>
    <w:rsid w:val="005E17BF"/>
    <w:rsid w:val="005E19DE"/>
    <w:rsid w:val="005E297D"/>
    <w:rsid w:val="005E33F5"/>
    <w:rsid w:val="005E42E6"/>
    <w:rsid w:val="005E4E17"/>
    <w:rsid w:val="005E5B7D"/>
    <w:rsid w:val="005E5C5D"/>
    <w:rsid w:val="005E5D86"/>
    <w:rsid w:val="005E7EFC"/>
    <w:rsid w:val="005F0043"/>
    <w:rsid w:val="005F072F"/>
    <w:rsid w:val="005F080A"/>
    <w:rsid w:val="005F0B69"/>
    <w:rsid w:val="005F1E1B"/>
    <w:rsid w:val="005F2169"/>
    <w:rsid w:val="005F2B52"/>
    <w:rsid w:val="005F2EFD"/>
    <w:rsid w:val="005F2FCD"/>
    <w:rsid w:val="005F4358"/>
    <w:rsid w:val="005F462B"/>
    <w:rsid w:val="005F5543"/>
    <w:rsid w:val="005F5AC1"/>
    <w:rsid w:val="005F659C"/>
    <w:rsid w:val="005F750F"/>
    <w:rsid w:val="005F7CFF"/>
    <w:rsid w:val="005F7E74"/>
    <w:rsid w:val="006003CE"/>
    <w:rsid w:val="00600C0A"/>
    <w:rsid w:val="00600D9F"/>
    <w:rsid w:val="006012E6"/>
    <w:rsid w:val="006017D7"/>
    <w:rsid w:val="00601880"/>
    <w:rsid w:val="00601AC5"/>
    <w:rsid w:val="00602C45"/>
    <w:rsid w:val="00602DDF"/>
    <w:rsid w:val="006030B2"/>
    <w:rsid w:val="00603105"/>
    <w:rsid w:val="0060361A"/>
    <w:rsid w:val="00603A5B"/>
    <w:rsid w:val="0060500C"/>
    <w:rsid w:val="00605905"/>
    <w:rsid w:val="00605A7F"/>
    <w:rsid w:val="00606159"/>
    <w:rsid w:val="00606583"/>
    <w:rsid w:val="00606D07"/>
    <w:rsid w:val="00607A09"/>
    <w:rsid w:val="00610072"/>
    <w:rsid w:val="00611709"/>
    <w:rsid w:val="00611CBC"/>
    <w:rsid w:val="00611D19"/>
    <w:rsid w:val="00611E04"/>
    <w:rsid w:val="006127EE"/>
    <w:rsid w:val="00613122"/>
    <w:rsid w:val="00613875"/>
    <w:rsid w:val="006139D7"/>
    <w:rsid w:val="00613AE8"/>
    <w:rsid w:val="00614A92"/>
    <w:rsid w:val="00615158"/>
    <w:rsid w:val="00615AAC"/>
    <w:rsid w:val="00615BB7"/>
    <w:rsid w:val="00615D60"/>
    <w:rsid w:val="00616629"/>
    <w:rsid w:val="006168B6"/>
    <w:rsid w:val="00616F5D"/>
    <w:rsid w:val="0062028E"/>
    <w:rsid w:val="006223F1"/>
    <w:rsid w:val="006224BA"/>
    <w:rsid w:val="00622B55"/>
    <w:rsid w:val="00622FEF"/>
    <w:rsid w:val="0062312F"/>
    <w:rsid w:val="0062341C"/>
    <w:rsid w:val="00623CC4"/>
    <w:rsid w:val="006245BB"/>
    <w:rsid w:val="00624C81"/>
    <w:rsid w:val="006250E8"/>
    <w:rsid w:val="00625BA2"/>
    <w:rsid w:val="00626580"/>
    <w:rsid w:val="00626605"/>
    <w:rsid w:val="00626C6E"/>
    <w:rsid w:val="00626E86"/>
    <w:rsid w:val="00627CAA"/>
    <w:rsid w:val="00630642"/>
    <w:rsid w:val="00630C95"/>
    <w:rsid w:val="00630ECE"/>
    <w:rsid w:val="00631218"/>
    <w:rsid w:val="00631B64"/>
    <w:rsid w:val="00632F9C"/>
    <w:rsid w:val="0063322A"/>
    <w:rsid w:val="0063361C"/>
    <w:rsid w:val="00633681"/>
    <w:rsid w:val="00633739"/>
    <w:rsid w:val="00634D3F"/>
    <w:rsid w:val="00635562"/>
    <w:rsid w:val="00635D7B"/>
    <w:rsid w:val="00635E1D"/>
    <w:rsid w:val="0063629A"/>
    <w:rsid w:val="00636BF3"/>
    <w:rsid w:val="0063748C"/>
    <w:rsid w:val="006374EB"/>
    <w:rsid w:val="00637D3A"/>
    <w:rsid w:val="006402A1"/>
    <w:rsid w:val="00640DC0"/>
    <w:rsid w:val="006411AA"/>
    <w:rsid w:val="006416CF"/>
    <w:rsid w:val="006418A2"/>
    <w:rsid w:val="00641EF7"/>
    <w:rsid w:val="006422B7"/>
    <w:rsid w:val="0064254A"/>
    <w:rsid w:val="00642689"/>
    <w:rsid w:val="00642CA9"/>
    <w:rsid w:val="00642CD7"/>
    <w:rsid w:val="00642DA8"/>
    <w:rsid w:val="006433F2"/>
    <w:rsid w:val="0064384A"/>
    <w:rsid w:val="00643DDF"/>
    <w:rsid w:val="00644B10"/>
    <w:rsid w:val="00644BEA"/>
    <w:rsid w:val="00644F51"/>
    <w:rsid w:val="0064534D"/>
    <w:rsid w:val="006454AC"/>
    <w:rsid w:val="006468F1"/>
    <w:rsid w:val="0064755C"/>
    <w:rsid w:val="00650699"/>
    <w:rsid w:val="006527E5"/>
    <w:rsid w:val="00652949"/>
    <w:rsid w:val="00652AEF"/>
    <w:rsid w:val="00652DB7"/>
    <w:rsid w:val="00654CB4"/>
    <w:rsid w:val="006564EF"/>
    <w:rsid w:val="006566A7"/>
    <w:rsid w:val="00656790"/>
    <w:rsid w:val="006567F3"/>
    <w:rsid w:val="006569EB"/>
    <w:rsid w:val="006573D6"/>
    <w:rsid w:val="00657526"/>
    <w:rsid w:val="006607AD"/>
    <w:rsid w:val="00660954"/>
    <w:rsid w:val="00660CEB"/>
    <w:rsid w:val="006619DE"/>
    <w:rsid w:val="00661A0C"/>
    <w:rsid w:val="006621D4"/>
    <w:rsid w:val="00662584"/>
    <w:rsid w:val="006630C6"/>
    <w:rsid w:val="00663199"/>
    <w:rsid w:val="006638A6"/>
    <w:rsid w:val="0066394B"/>
    <w:rsid w:val="0066431B"/>
    <w:rsid w:val="00664791"/>
    <w:rsid w:val="006649EF"/>
    <w:rsid w:val="006652A6"/>
    <w:rsid w:val="0066563B"/>
    <w:rsid w:val="0066609D"/>
    <w:rsid w:val="006667E5"/>
    <w:rsid w:val="00666B84"/>
    <w:rsid w:val="006678D6"/>
    <w:rsid w:val="00667F37"/>
    <w:rsid w:val="00670394"/>
    <w:rsid w:val="006706F3"/>
    <w:rsid w:val="00670B3F"/>
    <w:rsid w:val="0067113E"/>
    <w:rsid w:val="00671E6B"/>
    <w:rsid w:val="00672198"/>
    <w:rsid w:val="0067302F"/>
    <w:rsid w:val="006736E1"/>
    <w:rsid w:val="006740C2"/>
    <w:rsid w:val="006756FC"/>
    <w:rsid w:val="006764AF"/>
    <w:rsid w:val="00676991"/>
    <w:rsid w:val="00677D69"/>
    <w:rsid w:val="00677EC4"/>
    <w:rsid w:val="00680085"/>
    <w:rsid w:val="006808DD"/>
    <w:rsid w:val="00681448"/>
    <w:rsid w:val="00681812"/>
    <w:rsid w:val="00681E34"/>
    <w:rsid w:val="00682995"/>
    <w:rsid w:val="006830EE"/>
    <w:rsid w:val="0068396B"/>
    <w:rsid w:val="00684B04"/>
    <w:rsid w:val="00684D26"/>
    <w:rsid w:val="00684EA0"/>
    <w:rsid w:val="0068505B"/>
    <w:rsid w:val="00686B6F"/>
    <w:rsid w:val="00687212"/>
    <w:rsid w:val="00687364"/>
    <w:rsid w:val="0069073E"/>
    <w:rsid w:val="00691CC3"/>
    <w:rsid w:val="00692397"/>
    <w:rsid w:val="00692635"/>
    <w:rsid w:val="0069306F"/>
    <w:rsid w:val="00693E7E"/>
    <w:rsid w:val="00693F26"/>
    <w:rsid w:val="0069553E"/>
    <w:rsid w:val="00695A34"/>
    <w:rsid w:val="00696288"/>
    <w:rsid w:val="00696B65"/>
    <w:rsid w:val="00696D9D"/>
    <w:rsid w:val="006970EC"/>
    <w:rsid w:val="00697163"/>
    <w:rsid w:val="00697332"/>
    <w:rsid w:val="00697C29"/>
    <w:rsid w:val="006A096D"/>
    <w:rsid w:val="006A1069"/>
    <w:rsid w:val="006A10E1"/>
    <w:rsid w:val="006A247F"/>
    <w:rsid w:val="006A24E1"/>
    <w:rsid w:val="006A41B1"/>
    <w:rsid w:val="006A57DE"/>
    <w:rsid w:val="006A60D5"/>
    <w:rsid w:val="006A6A64"/>
    <w:rsid w:val="006A7072"/>
    <w:rsid w:val="006A7356"/>
    <w:rsid w:val="006A73B0"/>
    <w:rsid w:val="006A772E"/>
    <w:rsid w:val="006A7BBD"/>
    <w:rsid w:val="006B0025"/>
    <w:rsid w:val="006B0465"/>
    <w:rsid w:val="006B0D13"/>
    <w:rsid w:val="006B12C7"/>
    <w:rsid w:val="006B15A3"/>
    <w:rsid w:val="006B1FB2"/>
    <w:rsid w:val="006B354D"/>
    <w:rsid w:val="006B3859"/>
    <w:rsid w:val="006B468A"/>
    <w:rsid w:val="006B5373"/>
    <w:rsid w:val="006B54A2"/>
    <w:rsid w:val="006B566F"/>
    <w:rsid w:val="006B5813"/>
    <w:rsid w:val="006B590D"/>
    <w:rsid w:val="006B5D52"/>
    <w:rsid w:val="006B604B"/>
    <w:rsid w:val="006B6456"/>
    <w:rsid w:val="006B7BAA"/>
    <w:rsid w:val="006B7E7B"/>
    <w:rsid w:val="006C10FC"/>
    <w:rsid w:val="006C1343"/>
    <w:rsid w:val="006C145B"/>
    <w:rsid w:val="006C19C5"/>
    <w:rsid w:val="006C2B22"/>
    <w:rsid w:val="006C3030"/>
    <w:rsid w:val="006C32A9"/>
    <w:rsid w:val="006C367A"/>
    <w:rsid w:val="006C375D"/>
    <w:rsid w:val="006C45ED"/>
    <w:rsid w:val="006C4BFB"/>
    <w:rsid w:val="006C4C03"/>
    <w:rsid w:val="006C573A"/>
    <w:rsid w:val="006C5CEF"/>
    <w:rsid w:val="006C77F9"/>
    <w:rsid w:val="006D1CAA"/>
    <w:rsid w:val="006D1F3B"/>
    <w:rsid w:val="006D2039"/>
    <w:rsid w:val="006D244D"/>
    <w:rsid w:val="006D2613"/>
    <w:rsid w:val="006D29F1"/>
    <w:rsid w:val="006D2E2D"/>
    <w:rsid w:val="006D5022"/>
    <w:rsid w:val="006D58A2"/>
    <w:rsid w:val="006D5C45"/>
    <w:rsid w:val="006D5E20"/>
    <w:rsid w:val="006D6621"/>
    <w:rsid w:val="006D6CC0"/>
    <w:rsid w:val="006D712A"/>
    <w:rsid w:val="006E005F"/>
    <w:rsid w:val="006E02A8"/>
    <w:rsid w:val="006E02AB"/>
    <w:rsid w:val="006E06B7"/>
    <w:rsid w:val="006E0DC9"/>
    <w:rsid w:val="006E0EC1"/>
    <w:rsid w:val="006E15A2"/>
    <w:rsid w:val="006E17DC"/>
    <w:rsid w:val="006E181B"/>
    <w:rsid w:val="006E261A"/>
    <w:rsid w:val="006E26FD"/>
    <w:rsid w:val="006E2765"/>
    <w:rsid w:val="006E287E"/>
    <w:rsid w:val="006E47A0"/>
    <w:rsid w:val="006E5238"/>
    <w:rsid w:val="006E590D"/>
    <w:rsid w:val="006E5D41"/>
    <w:rsid w:val="006E5D5C"/>
    <w:rsid w:val="006E5F74"/>
    <w:rsid w:val="006E6AB9"/>
    <w:rsid w:val="006E6C67"/>
    <w:rsid w:val="006E6E14"/>
    <w:rsid w:val="006E73B9"/>
    <w:rsid w:val="006E7D0E"/>
    <w:rsid w:val="006E7EA9"/>
    <w:rsid w:val="006F02AD"/>
    <w:rsid w:val="006F0BA5"/>
    <w:rsid w:val="006F1245"/>
    <w:rsid w:val="006F138A"/>
    <w:rsid w:val="006F16AA"/>
    <w:rsid w:val="006F1918"/>
    <w:rsid w:val="006F245E"/>
    <w:rsid w:val="006F3212"/>
    <w:rsid w:val="006F349D"/>
    <w:rsid w:val="006F37DF"/>
    <w:rsid w:val="006F40CC"/>
    <w:rsid w:val="006F4382"/>
    <w:rsid w:val="006F4A1E"/>
    <w:rsid w:val="006F63CD"/>
    <w:rsid w:val="006F670A"/>
    <w:rsid w:val="006F69CF"/>
    <w:rsid w:val="006F6A92"/>
    <w:rsid w:val="006F6C80"/>
    <w:rsid w:val="00700A1C"/>
    <w:rsid w:val="0070171D"/>
    <w:rsid w:val="007018FF"/>
    <w:rsid w:val="00701B4F"/>
    <w:rsid w:val="00702027"/>
    <w:rsid w:val="007022BE"/>
    <w:rsid w:val="00702490"/>
    <w:rsid w:val="007025BC"/>
    <w:rsid w:val="007029C7"/>
    <w:rsid w:val="00702D16"/>
    <w:rsid w:val="00702E10"/>
    <w:rsid w:val="00703173"/>
    <w:rsid w:val="00703E4E"/>
    <w:rsid w:val="0070450A"/>
    <w:rsid w:val="0070483D"/>
    <w:rsid w:val="00705CF0"/>
    <w:rsid w:val="00705D24"/>
    <w:rsid w:val="00706479"/>
    <w:rsid w:val="007064D3"/>
    <w:rsid w:val="00707453"/>
    <w:rsid w:val="00707F7A"/>
    <w:rsid w:val="00710AB2"/>
    <w:rsid w:val="007117AC"/>
    <w:rsid w:val="00711B02"/>
    <w:rsid w:val="00711CAE"/>
    <w:rsid w:val="00712385"/>
    <w:rsid w:val="00713E64"/>
    <w:rsid w:val="007140E2"/>
    <w:rsid w:val="00714603"/>
    <w:rsid w:val="00714867"/>
    <w:rsid w:val="007203ED"/>
    <w:rsid w:val="007205D7"/>
    <w:rsid w:val="00720926"/>
    <w:rsid w:val="00720C24"/>
    <w:rsid w:val="00720E00"/>
    <w:rsid w:val="0072172C"/>
    <w:rsid w:val="007222C3"/>
    <w:rsid w:val="00722950"/>
    <w:rsid w:val="00722E0B"/>
    <w:rsid w:val="00723001"/>
    <w:rsid w:val="007232E5"/>
    <w:rsid w:val="00723631"/>
    <w:rsid w:val="00724144"/>
    <w:rsid w:val="007241FB"/>
    <w:rsid w:val="00725EF1"/>
    <w:rsid w:val="00727317"/>
    <w:rsid w:val="007279BD"/>
    <w:rsid w:val="00727AB9"/>
    <w:rsid w:val="00727AEA"/>
    <w:rsid w:val="00727D30"/>
    <w:rsid w:val="0073017F"/>
    <w:rsid w:val="00731674"/>
    <w:rsid w:val="00731849"/>
    <w:rsid w:val="007319F9"/>
    <w:rsid w:val="00731A10"/>
    <w:rsid w:val="00733B7A"/>
    <w:rsid w:val="00733BD6"/>
    <w:rsid w:val="0073499C"/>
    <w:rsid w:val="00734E4B"/>
    <w:rsid w:val="00734EAB"/>
    <w:rsid w:val="00734EB3"/>
    <w:rsid w:val="0073665A"/>
    <w:rsid w:val="00736CF8"/>
    <w:rsid w:val="0073779D"/>
    <w:rsid w:val="00737E0C"/>
    <w:rsid w:val="00737F23"/>
    <w:rsid w:val="0074084F"/>
    <w:rsid w:val="00741081"/>
    <w:rsid w:val="00741F72"/>
    <w:rsid w:val="00743270"/>
    <w:rsid w:val="00743414"/>
    <w:rsid w:val="00743B30"/>
    <w:rsid w:val="007440D1"/>
    <w:rsid w:val="00744745"/>
    <w:rsid w:val="00744D45"/>
    <w:rsid w:val="00744E1B"/>
    <w:rsid w:val="007451DC"/>
    <w:rsid w:val="00745790"/>
    <w:rsid w:val="00745E9E"/>
    <w:rsid w:val="00747EC2"/>
    <w:rsid w:val="0075019E"/>
    <w:rsid w:val="00750D23"/>
    <w:rsid w:val="007514ED"/>
    <w:rsid w:val="00751A69"/>
    <w:rsid w:val="0075287B"/>
    <w:rsid w:val="00753140"/>
    <w:rsid w:val="0075327C"/>
    <w:rsid w:val="0075376C"/>
    <w:rsid w:val="00753D61"/>
    <w:rsid w:val="00753DF0"/>
    <w:rsid w:val="00753E5C"/>
    <w:rsid w:val="00754230"/>
    <w:rsid w:val="0075569B"/>
    <w:rsid w:val="007559BC"/>
    <w:rsid w:val="007559F0"/>
    <w:rsid w:val="00755FF0"/>
    <w:rsid w:val="0075610B"/>
    <w:rsid w:val="00756178"/>
    <w:rsid w:val="00756CC7"/>
    <w:rsid w:val="007571A8"/>
    <w:rsid w:val="0076072E"/>
    <w:rsid w:val="0076146E"/>
    <w:rsid w:val="00761A14"/>
    <w:rsid w:val="007625BF"/>
    <w:rsid w:val="007626F7"/>
    <w:rsid w:val="00763FB1"/>
    <w:rsid w:val="007643B9"/>
    <w:rsid w:val="00764520"/>
    <w:rsid w:val="0076476F"/>
    <w:rsid w:val="00765115"/>
    <w:rsid w:val="00765E85"/>
    <w:rsid w:val="00765F31"/>
    <w:rsid w:val="007663C3"/>
    <w:rsid w:val="00766940"/>
    <w:rsid w:val="00767837"/>
    <w:rsid w:val="0076793E"/>
    <w:rsid w:val="0077003E"/>
    <w:rsid w:val="007702F3"/>
    <w:rsid w:val="00771367"/>
    <w:rsid w:val="007714AD"/>
    <w:rsid w:val="00771543"/>
    <w:rsid w:val="00771D83"/>
    <w:rsid w:val="00772881"/>
    <w:rsid w:val="00773DE9"/>
    <w:rsid w:val="007753FB"/>
    <w:rsid w:val="007754A7"/>
    <w:rsid w:val="00776BB7"/>
    <w:rsid w:val="007770FE"/>
    <w:rsid w:val="00777F98"/>
    <w:rsid w:val="00780069"/>
    <w:rsid w:val="00780418"/>
    <w:rsid w:val="0078127F"/>
    <w:rsid w:val="0078155F"/>
    <w:rsid w:val="007825DE"/>
    <w:rsid w:val="007828D8"/>
    <w:rsid w:val="00783643"/>
    <w:rsid w:val="0078391A"/>
    <w:rsid w:val="0078433C"/>
    <w:rsid w:val="00784FCE"/>
    <w:rsid w:val="00784FFC"/>
    <w:rsid w:val="00785492"/>
    <w:rsid w:val="00786741"/>
    <w:rsid w:val="00787E6A"/>
    <w:rsid w:val="00790322"/>
    <w:rsid w:val="0079045A"/>
    <w:rsid w:val="00790E66"/>
    <w:rsid w:val="00791B5A"/>
    <w:rsid w:val="00792338"/>
    <w:rsid w:val="007925F1"/>
    <w:rsid w:val="00792BDC"/>
    <w:rsid w:val="007942C1"/>
    <w:rsid w:val="00794D49"/>
    <w:rsid w:val="007951CF"/>
    <w:rsid w:val="00795920"/>
    <w:rsid w:val="00795E18"/>
    <w:rsid w:val="0079612C"/>
    <w:rsid w:val="00796218"/>
    <w:rsid w:val="007962B9"/>
    <w:rsid w:val="00797E06"/>
    <w:rsid w:val="007A01B3"/>
    <w:rsid w:val="007A0310"/>
    <w:rsid w:val="007A0CBD"/>
    <w:rsid w:val="007A1455"/>
    <w:rsid w:val="007A1632"/>
    <w:rsid w:val="007A16A9"/>
    <w:rsid w:val="007A2165"/>
    <w:rsid w:val="007A2864"/>
    <w:rsid w:val="007A2CB9"/>
    <w:rsid w:val="007A4269"/>
    <w:rsid w:val="007A4566"/>
    <w:rsid w:val="007A473D"/>
    <w:rsid w:val="007A4FE8"/>
    <w:rsid w:val="007A525C"/>
    <w:rsid w:val="007A54FD"/>
    <w:rsid w:val="007A583C"/>
    <w:rsid w:val="007A5C55"/>
    <w:rsid w:val="007A5C56"/>
    <w:rsid w:val="007A5E1E"/>
    <w:rsid w:val="007A6551"/>
    <w:rsid w:val="007A6650"/>
    <w:rsid w:val="007A6813"/>
    <w:rsid w:val="007A6936"/>
    <w:rsid w:val="007A7C1A"/>
    <w:rsid w:val="007A7CD1"/>
    <w:rsid w:val="007B07E5"/>
    <w:rsid w:val="007B0A40"/>
    <w:rsid w:val="007B0F18"/>
    <w:rsid w:val="007B0FBE"/>
    <w:rsid w:val="007B2CFE"/>
    <w:rsid w:val="007B3944"/>
    <w:rsid w:val="007B3A12"/>
    <w:rsid w:val="007B5D98"/>
    <w:rsid w:val="007B5FB7"/>
    <w:rsid w:val="007B64F6"/>
    <w:rsid w:val="007B6D48"/>
    <w:rsid w:val="007B7143"/>
    <w:rsid w:val="007C0EC3"/>
    <w:rsid w:val="007C11FC"/>
    <w:rsid w:val="007C12E4"/>
    <w:rsid w:val="007C2257"/>
    <w:rsid w:val="007C2B97"/>
    <w:rsid w:val="007C3530"/>
    <w:rsid w:val="007C3881"/>
    <w:rsid w:val="007C3E23"/>
    <w:rsid w:val="007C4051"/>
    <w:rsid w:val="007C5035"/>
    <w:rsid w:val="007C57B9"/>
    <w:rsid w:val="007C58E4"/>
    <w:rsid w:val="007C617F"/>
    <w:rsid w:val="007C6B45"/>
    <w:rsid w:val="007C7403"/>
    <w:rsid w:val="007D1DE8"/>
    <w:rsid w:val="007D2925"/>
    <w:rsid w:val="007D2D12"/>
    <w:rsid w:val="007D2D2F"/>
    <w:rsid w:val="007D2F74"/>
    <w:rsid w:val="007D2F93"/>
    <w:rsid w:val="007D368D"/>
    <w:rsid w:val="007D36A0"/>
    <w:rsid w:val="007D4020"/>
    <w:rsid w:val="007D4184"/>
    <w:rsid w:val="007D4AD5"/>
    <w:rsid w:val="007D4C2F"/>
    <w:rsid w:val="007D4DF6"/>
    <w:rsid w:val="007D55DF"/>
    <w:rsid w:val="007E036B"/>
    <w:rsid w:val="007E0426"/>
    <w:rsid w:val="007E1569"/>
    <w:rsid w:val="007E1CEC"/>
    <w:rsid w:val="007E217B"/>
    <w:rsid w:val="007E2682"/>
    <w:rsid w:val="007E3446"/>
    <w:rsid w:val="007E34C1"/>
    <w:rsid w:val="007E375B"/>
    <w:rsid w:val="007E396E"/>
    <w:rsid w:val="007E3A20"/>
    <w:rsid w:val="007E3ECF"/>
    <w:rsid w:val="007E44EC"/>
    <w:rsid w:val="007E451E"/>
    <w:rsid w:val="007E45C3"/>
    <w:rsid w:val="007E4FE7"/>
    <w:rsid w:val="007E54F4"/>
    <w:rsid w:val="007E5AEC"/>
    <w:rsid w:val="007E5E93"/>
    <w:rsid w:val="007E62AD"/>
    <w:rsid w:val="007E74AC"/>
    <w:rsid w:val="007E7733"/>
    <w:rsid w:val="007E7BA6"/>
    <w:rsid w:val="007F02B8"/>
    <w:rsid w:val="007F08F4"/>
    <w:rsid w:val="007F1491"/>
    <w:rsid w:val="007F1508"/>
    <w:rsid w:val="007F17CE"/>
    <w:rsid w:val="007F1949"/>
    <w:rsid w:val="007F19E1"/>
    <w:rsid w:val="007F2485"/>
    <w:rsid w:val="007F2762"/>
    <w:rsid w:val="007F27A7"/>
    <w:rsid w:val="007F2833"/>
    <w:rsid w:val="007F28B6"/>
    <w:rsid w:val="007F2C2F"/>
    <w:rsid w:val="007F3748"/>
    <w:rsid w:val="007F37A2"/>
    <w:rsid w:val="007F3A58"/>
    <w:rsid w:val="007F4235"/>
    <w:rsid w:val="007F4263"/>
    <w:rsid w:val="007F51E0"/>
    <w:rsid w:val="007F6006"/>
    <w:rsid w:val="007F64FE"/>
    <w:rsid w:val="007F6DE5"/>
    <w:rsid w:val="007F74AF"/>
    <w:rsid w:val="007F7C40"/>
    <w:rsid w:val="00800906"/>
    <w:rsid w:val="008009C5"/>
    <w:rsid w:val="00800D68"/>
    <w:rsid w:val="008011E0"/>
    <w:rsid w:val="00801839"/>
    <w:rsid w:val="0080191F"/>
    <w:rsid w:val="00802E11"/>
    <w:rsid w:val="008030B2"/>
    <w:rsid w:val="008042F2"/>
    <w:rsid w:val="008044FD"/>
    <w:rsid w:val="00804D3A"/>
    <w:rsid w:val="008050F5"/>
    <w:rsid w:val="00805120"/>
    <w:rsid w:val="00805464"/>
    <w:rsid w:val="00805929"/>
    <w:rsid w:val="00805AB7"/>
    <w:rsid w:val="0080715E"/>
    <w:rsid w:val="00810018"/>
    <w:rsid w:val="00810AE9"/>
    <w:rsid w:val="00810B03"/>
    <w:rsid w:val="008110BC"/>
    <w:rsid w:val="008116EF"/>
    <w:rsid w:val="008122AD"/>
    <w:rsid w:val="008126B1"/>
    <w:rsid w:val="008129E9"/>
    <w:rsid w:val="00812FBC"/>
    <w:rsid w:val="00813358"/>
    <w:rsid w:val="00813654"/>
    <w:rsid w:val="00813E88"/>
    <w:rsid w:val="00814638"/>
    <w:rsid w:val="00814BF6"/>
    <w:rsid w:val="0081683C"/>
    <w:rsid w:val="00816944"/>
    <w:rsid w:val="00817388"/>
    <w:rsid w:val="0081740E"/>
    <w:rsid w:val="008174E1"/>
    <w:rsid w:val="008175B6"/>
    <w:rsid w:val="00817ABD"/>
    <w:rsid w:val="00817DFB"/>
    <w:rsid w:val="00817E8F"/>
    <w:rsid w:val="00817FA1"/>
    <w:rsid w:val="008209EF"/>
    <w:rsid w:val="00820DBF"/>
    <w:rsid w:val="008222F0"/>
    <w:rsid w:val="00823BE6"/>
    <w:rsid w:val="00824EB6"/>
    <w:rsid w:val="00825B92"/>
    <w:rsid w:val="00825FCE"/>
    <w:rsid w:val="008264D2"/>
    <w:rsid w:val="0082671A"/>
    <w:rsid w:val="00827B51"/>
    <w:rsid w:val="00827E6E"/>
    <w:rsid w:val="008306AC"/>
    <w:rsid w:val="0083146D"/>
    <w:rsid w:val="008318C1"/>
    <w:rsid w:val="00831BD6"/>
    <w:rsid w:val="00831F30"/>
    <w:rsid w:val="00833CB2"/>
    <w:rsid w:val="008343EF"/>
    <w:rsid w:val="00834B59"/>
    <w:rsid w:val="00834C4C"/>
    <w:rsid w:val="00834FBC"/>
    <w:rsid w:val="00835138"/>
    <w:rsid w:val="00836467"/>
    <w:rsid w:val="008366F1"/>
    <w:rsid w:val="00837FCF"/>
    <w:rsid w:val="008401E8"/>
    <w:rsid w:val="00841297"/>
    <w:rsid w:val="00841D28"/>
    <w:rsid w:val="008421BA"/>
    <w:rsid w:val="00844159"/>
    <w:rsid w:val="008442F4"/>
    <w:rsid w:val="008464B8"/>
    <w:rsid w:val="00847C2F"/>
    <w:rsid w:val="00847CD2"/>
    <w:rsid w:val="008514C9"/>
    <w:rsid w:val="00851A08"/>
    <w:rsid w:val="0085229D"/>
    <w:rsid w:val="008524EA"/>
    <w:rsid w:val="008527C2"/>
    <w:rsid w:val="008527DA"/>
    <w:rsid w:val="008535B8"/>
    <w:rsid w:val="00853DCF"/>
    <w:rsid w:val="00854030"/>
    <w:rsid w:val="00855964"/>
    <w:rsid w:val="00855A8A"/>
    <w:rsid w:val="00856041"/>
    <w:rsid w:val="00857163"/>
    <w:rsid w:val="008573DF"/>
    <w:rsid w:val="00857712"/>
    <w:rsid w:val="00857716"/>
    <w:rsid w:val="008601B7"/>
    <w:rsid w:val="0086159D"/>
    <w:rsid w:val="00861CA6"/>
    <w:rsid w:val="008624B4"/>
    <w:rsid w:val="0086262A"/>
    <w:rsid w:val="00862AED"/>
    <w:rsid w:val="00862BD4"/>
    <w:rsid w:val="00863187"/>
    <w:rsid w:val="00863647"/>
    <w:rsid w:val="00863E57"/>
    <w:rsid w:val="00864615"/>
    <w:rsid w:val="00864E82"/>
    <w:rsid w:val="008665BE"/>
    <w:rsid w:val="00870327"/>
    <w:rsid w:val="00870FA6"/>
    <w:rsid w:val="008713A8"/>
    <w:rsid w:val="008729D4"/>
    <w:rsid w:val="00872D4D"/>
    <w:rsid w:val="00872D65"/>
    <w:rsid w:val="008733F4"/>
    <w:rsid w:val="0087392B"/>
    <w:rsid w:val="00874205"/>
    <w:rsid w:val="00874284"/>
    <w:rsid w:val="00874477"/>
    <w:rsid w:val="008758C5"/>
    <w:rsid w:val="00875A1C"/>
    <w:rsid w:val="00875DF8"/>
    <w:rsid w:val="00877061"/>
    <w:rsid w:val="008805D8"/>
    <w:rsid w:val="0088094D"/>
    <w:rsid w:val="00881C74"/>
    <w:rsid w:val="00882714"/>
    <w:rsid w:val="008840C0"/>
    <w:rsid w:val="00884FEC"/>
    <w:rsid w:val="00885B25"/>
    <w:rsid w:val="00885DEE"/>
    <w:rsid w:val="00885F72"/>
    <w:rsid w:val="0088625D"/>
    <w:rsid w:val="00886573"/>
    <w:rsid w:val="00886FFC"/>
    <w:rsid w:val="00890363"/>
    <w:rsid w:val="00890968"/>
    <w:rsid w:val="008911E9"/>
    <w:rsid w:val="008912F3"/>
    <w:rsid w:val="00891739"/>
    <w:rsid w:val="00891C1C"/>
    <w:rsid w:val="0089282B"/>
    <w:rsid w:val="00892A05"/>
    <w:rsid w:val="00892EEF"/>
    <w:rsid w:val="008931D3"/>
    <w:rsid w:val="00893248"/>
    <w:rsid w:val="0089355B"/>
    <w:rsid w:val="00893A0F"/>
    <w:rsid w:val="00893A3D"/>
    <w:rsid w:val="00893F71"/>
    <w:rsid w:val="0089422B"/>
    <w:rsid w:val="008942D2"/>
    <w:rsid w:val="00894DB6"/>
    <w:rsid w:val="00895318"/>
    <w:rsid w:val="0089567F"/>
    <w:rsid w:val="00895E85"/>
    <w:rsid w:val="008965B8"/>
    <w:rsid w:val="00896C43"/>
    <w:rsid w:val="00896D5F"/>
    <w:rsid w:val="00896FA0"/>
    <w:rsid w:val="008A04D6"/>
    <w:rsid w:val="008A0D94"/>
    <w:rsid w:val="008A2292"/>
    <w:rsid w:val="008A24A0"/>
    <w:rsid w:val="008A25A6"/>
    <w:rsid w:val="008A288B"/>
    <w:rsid w:val="008A3C17"/>
    <w:rsid w:val="008A42B8"/>
    <w:rsid w:val="008A4328"/>
    <w:rsid w:val="008A4E54"/>
    <w:rsid w:val="008A5E6B"/>
    <w:rsid w:val="008A5F70"/>
    <w:rsid w:val="008A6956"/>
    <w:rsid w:val="008A6A70"/>
    <w:rsid w:val="008A6C38"/>
    <w:rsid w:val="008A7156"/>
    <w:rsid w:val="008A791E"/>
    <w:rsid w:val="008A79DF"/>
    <w:rsid w:val="008A79F8"/>
    <w:rsid w:val="008A7F52"/>
    <w:rsid w:val="008A7FFD"/>
    <w:rsid w:val="008B019A"/>
    <w:rsid w:val="008B0C08"/>
    <w:rsid w:val="008B0EFD"/>
    <w:rsid w:val="008B1620"/>
    <w:rsid w:val="008B199F"/>
    <w:rsid w:val="008B1A1C"/>
    <w:rsid w:val="008B28B3"/>
    <w:rsid w:val="008B367F"/>
    <w:rsid w:val="008B38DD"/>
    <w:rsid w:val="008B4205"/>
    <w:rsid w:val="008B44AB"/>
    <w:rsid w:val="008B498E"/>
    <w:rsid w:val="008B54EC"/>
    <w:rsid w:val="008B5B88"/>
    <w:rsid w:val="008B5C34"/>
    <w:rsid w:val="008B614A"/>
    <w:rsid w:val="008B699D"/>
    <w:rsid w:val="008B6D84"/>
    <w:rsid w:val="008B7011"/>
    <w:rsid w:val="008B7146"/>
    <w:rsid w:val="008B74CD"/>
    <w:rsid w:val="008C0749"/>
    <w:rsid w:val="008C121B"/>
    <w:rsid w:val="008C127B"/>
    <w:rsid w:val="008C15A3"/>
    <w:rsid w:val="008C170F"/>
    <w:rsid w:val="008C1D04"/>
    <w:rsid w:val="008C20DD"/>
    <w:rsid w:val="008C22F4"/>
    <w:rsid w:val="008C2A6D"/>
    <w:rsid w:val="008C30CA"/>
    <w:rsid w:val="008C3437"/>
    <w:rsid w:val="008C40EF"/>
    <w:rsid w:val="008C4135"/>
    <w:rsid w:val="008C4B45"/>
    <w:rsid w:val="008C51A5"/>
    <w:rsid w:val="008C53CF"/>
    <w:rsid w:val="008C57F4"/>
    <w:rsid w:val="008C5E42"/>
    <w:rsid w:val="008C675D"/>
    <w:rsid w:val="008C67F4"/>
    <w:rsid w:val="008C6B42"/>
    <w:rsid w:val="008C6BBC"/>
    <w:rsid w:val="008C723F"/>
    <w:rsid w:val="008C735E"/>
    <w:rsid w:val="008C78F3"/>
    <w:rsid w:val="008C7D1C"/>
    <w:rsid w:val="008D0AAA"/>
    <w:rsid w:val="008D160C"/>
    <w:rsid w:val="008D2102"/>
    <w:rsid w:val="008D2175"/>
    <w:rsid w:val="008D2407"/>
    <w:rsid w:val="008D3918"/>
    <w:rsid w:val="008D3ADB"/>
    <w:rsid w:val="008D41A2"/>
    <w:rsid w:val="008D534F"/>
    <w:rsid w:val="008D5577"/>
    <w:rsid w:val="008D6043"/>
    <w:rsid w:val="008D690F"/>
    <w:rsid w:val="008D69E6"/>
    <w:rsid w:val="008D76F5"/>
    <w:rsid w:val="008D7CC8"/>
    <w:rsid w:val="008E056D"/>
    <w:rsid w:val="008E12F2"/>
    <w:rsid w:val="008E145E"/>
    <w:rsid w:val="008E1FE9"/>
    <w:rsid w:val="008E243A"/>
    <w:rsid w:val="008E2635"/>
    <w:rsid w:val="008E26D3"/>
    <w:rsid w:val="008E322A"/>
    <w:rsid w:val="008E3248"/>
    <w:rsid w:val="008E3552"/>
    <w:rsid w:val="008E3640"/>
    <w:rsid w:val="008E38CE"/>
    <w:rsid w:val="008E38DE"/>
    <w:rsid w:val="008E3D47"/>
    <w:rsid w:val="008E3FBE"/>
    <w:rsid w:val="008E40CB"/>
    <w:rsid w:val="008E4C43"/>
    <w:rsid w:val="008E50E0"/>
    <w:rsid w:val="008E5336"/>
    <w:rsid w:val="008E5E5C"/>
    <w:rsid w:val="008E6352"/>
    <w:rsid w:val="008E686E"/>
    <w:rsid w:val="008E688A"/>
    <w:rsid w:val="008E7136"/>
    <w:rsid w:val="008E7A11"/>
    <w:rsid w:val="008F00D4"/>
    <w:rsid w:val="008F1C09"/>
    <w:rsid w:val="008F29ED"/>
    <w:rsid w:val="008F2B48"/>
    <w:rsid w:val="008F3460"/>
    <w:rsid w:val="008F366E"/>
    <w:rsid w:val="008F3E77"/>
    <w:rsid w:val="008F4E27"/>
    <w:rsid w:val="008F5640"/>
    <w:rsid w:val="008F597C"/>
    <w:rsid w:val="008F607E"/>
    <w:rsid w:val="008F76A6"/>
    <w:rsid w:val="008F76D2"/>
    <w:rsid w:val="008F7F02"/>
    <w:rsid w:val="009009F1"/>
    <w:rsid w:val="00900B47"/>
    <w:rsid w:val="00900E2D"/>
    <w:rsid w:val="00900ED3"/>
    <w:rsid w:val="00901015"/>
    <w:rsid w:val="00901092"/>
    <w:rsid w:val="00901CB7"/>
    <w:rsid w:val="009024A8"/>
    <w:rsid w:val="0090265E"/>
    <w:rsid w:val="00903073"/>
    <w:rsid w:val="00903204"/>
    <w:rsid w:val="00904866"/>
    <w:rsid w:val="00905469"/>
    <w:rsid w:val="00905AA6"/>
    <w:rsid w:val="00905ED5"/>
    <w:rsid w:val="00906338"/>
    <w:rsid w:val="00910C20"/>
    <w:rsid w:val="00910EA0"/>
    <w:rsid w:val="0091123A"/>
    <w:rsid w:val="0091182C"/>
    <w:rsid w:val="00912633"/>
    <w:rsid w:val="009143E9"/>
    <w:rsid w:val="00914540"/>
    <w:rsid w:val="00914567"/>
    <w:rsid w:val="0091593E"/>
    <w:rsid w:val="00915C32"/>
    <w:rsid w:val="00915E0D"/>
    <w:rsid w:val="00916A3F"/>
    <w:rsid w:val="00916CFD"/>
    <w:rsid w:val="00917FFB"/>
    <w:rsid w:val="009206FC"/>
    <w:rsid w:val="0092078F"/>
    <w:rsid w:val="0092089A"/>
    <w:rsid w:val="00920A18"/>
    <w:rsid w:val="00920EBF"/>
    <w:rsid w:val="00920F1A"/>
    <w:rsid w:val="00921415"/>
    <w:rsid w:val="00921A03"/>
    <w:rsid w:val="009220BE"/>
    <w:rsid w:val="00922192"/>
    <w:rsid w:val="00922A68"/>
    <w:rsid w:val="00923068"/>
    <w:rsid w:val="00923A00"/>
    <w:rsid w:val="00924D50"/>
    <w:rsid w:val="00924F43"/>
    <w:rsid w:val="00926020"/>
    <w:rsid w:val="0092628A"/>
    <w:rsid w:val="0092688E"/>
    <w:rsid w:val="00926DE4"/>
    <w:rsid w:val="00927363"/>
    <w:rsid w:val="009274F8"/>
    <w:rsid w:val="009309BD"/>
    <w:rsid w:val="009310C0"/>
    <w:rsid w:val="009310C4"/>
    <w:rsid w:val="009322EE"/>
    <w:rsid w:val="00932AE6"/>
    <w:rsid w:val="00932BDC"/>
    <w:rsid w:val="0093324C"/>
    <w:rsid w:val="00933645"/>
    <w:rsid w:val="009337FE"/>
    <w:rsid w:val="0093421A"/>
    <w:rsid w:val="0093530E"/>
    <w:rsid w:val="00935442"/>
    <w:rsid w:val="00935748"/>
    <w:rsid w:val="00936237"/>
    <w:rsid w:val="009366AA"/>
    <w:rsid w:val="0093670A"/>
    <w:rsid w:val="00936A31"/>
    <w:rsid w:val="00937121"/>
    <w:rsid w:val="009372C1"/>
    <w:rsid w:val="00937807"/>
    <w:rsid w:val="00937B86"/>
    <w:rsid w:val="00940289"/>
    <w:rsid w:val="009402EE"/>
    <w:rsid w:val="00941201"/>
    <w:rsid w:val="00941B41"/>
    <w:rsid w:val="00941F01"/>
    <w:rsid w:val="009425F4"/>
    <w:rsid w:val="00942655"/>
    <w:rsid w:val="00942695"/>
    <w:rsid w:val="00942707"/>
    <w:rsid w:val="009430FD"/>
    <w:rsid w:val="00943C71"/>
    <w:rsid w:val="00943E6B"/>
    <w:rsid w:val="009447A2"/>
    <w:rsid w:val="0094508D"/>
    <w:rsid w:val="009454CA"/>
    <w:rsid w:val="00945718"/>
    <w:rsid w:val="009462B5"/>
    <w:rsid w:val="0094686F"/>
    <w:rsid w:val="00946E16"/>
    <w:rsid w:val="00947C3A"/>
    <w:rsid w:val="00950742"/>
    <w:rsid w:val="00951481"/>
    <w:rsid w:val="00951C33"/>
    <w:rsid w:val="00951CAD"/>
    <w:rsid w:val="00952109"/>
    <w:rsid w:val="00952A4B"/>
    <w:rsid w:val="00952D71"/>
    <w:rsid w:val="00953387"/>
    <w:rsid w:val="00953E33"/>
    <w:rsid w:val="00953E50"/>
    <w:rsid w:val="0095442A"/>
    <w:rsid w:val="009546CE"/>
    <w:rsid w:val="00954F3E"/>
    <w:rsid w:val="0095582F"/>
    <w:rsid w:val="00955D17"/>
    <w:rsid w:val="00956123"/>
    <w:rsid w:val="009562D5"/>
    <w:rsid w:val="0095656F"/>
    <w:rsid w:val="00956A88"/>
    <w:rsid w:val="00956CB0"/>
    <w:rsid w:val="00956EA0"/>
    <w:rsid w:val="0095710F"/>
    <w:rsid w:val="00960166"/>
    <w:rsid w:val="009604E1"/>
    <w:rsid w:val="00961ADD"/>
    <w:rsid w:val="00961E3E"/>
    <w:rsid w:val="00962655"/>
    <w:rsid w:val="00962B12"/>
    <w:rsid w:val="00963A64"/>
    <w:rsid w:val="00963D31"/>
    <w:rsid w:val="00964E30"/>
    <w:rsid w:val="0096547D"/>
    <w:rsid w:val="00965F61"/>
    <w:rsid w:val="009662E5"/>
    <w:rsid w:val="00970513"/>
    <w:rsid w:val="00970DD5"/>
    <w:rsid w:val="00970E16"/>
    <w:rsid w:val="009710A4"/>
    <w:rsid w:val="00971370"/>
    <w:rsid w:val="00972508"/>
    <w:rsid w:val="00972B12"/>
    <w:rsid w:val="0097323D"/>
    <w:rsid w:val="00974AA6"/>
    <w:rsid w:val="00974CC4"/>
    <w:rsid w:val="00974F09"/>
    <w:rsid w:val="00974F80"/>
    <w:rsid w:val="00976782"/>
    <w:rsid w:val="00977595"/>
    <w:rsid w:val="009811E4"/>
    <w:rsid w:val="00981A32"/>
    <w:rsid w:val="009835E2"/>
    <w:rsid w:val="00983C70"/>
    <w:rsid w:val="00983D1A"/>
    <w:rsid w:val="009842E3"/>
    <w:rsid w:val="009846C8"/>
    <w:rsid w:val="00984D0E"/>
    <w:rsid w:val="009850F8"/>
    <w:rsid w:val="00985655"/>
    <w:rsid w:val="00985790"/>
    <w:rsid w:val="00986771"/>
    <w:rsid w:val="00986956"/>
    <w:rsid w:val="00986991"/>
    <w:rsid w:val="009869BA"/>
    <w:rsid w:val="00986EFA"/>
    <w:rsid w:val="009870C5"/>
    <w:rsid w:val="00987107"/>
    <w:rsid w:val="009877D1"/>
    <w:rsid w:val="009907AE"/>
    <w:rsid w:val="00990B79"/>
    <w:rsid w:val="00991185"/>
    <w:rsid w:val="00991422"/>
    <w:rsid w:val="009916F7"/>
    <w:rsid w:val="00992476"/>
    <w:rsid w:val="009926E4"/>
    <w:rsid w:val="00992B53"/>
    <w:rsid w:val="00992D96"/>
    <w:rsid w:val="0099301F"/>
    <w:rsid w:val="0099371F"/>
    <w:rsid w:val="00993D81"/>
    <w:rsid w:val="00993FE4"/>
    <w:rsid w:val="00994518"/>
    <w:rsid w:val="009945AA"/>
    <w:rsid w:val="00994851"/>
    <w:rsid w:val="00994F29"/>
    <w:rsid w:val="00995F7F"/>
    <w:rsid w:val="009961D6"/>
    <w:rsid w:val="00996342"/>
    <w:rsid w:val="0099698C"/>
    <w:rsid w:val="00996AA7"/>
    <w:rsid w:val="0099714D"/>
    <w:rsid w:val="00997218"/>
    <w:rsid w:val="00997A1F"/>
    <w:rsid w:val="00997DDC"/>
    <w:rsid w:val="009A073F"/>
    <w:rsid w:val="009A0AAF"/>
    <w:rsid w:val="009A0E76"/>
    <w:rsid w:val="009A126B"/>
    <w:rsid w:val="009A148C"/>
    <w:rsid w:val="009A1707"/>
    <w:rsid w:val="009A1A3C"/>
    <w:rsid w:val="009A1B6F"/>
    <w:rsid w:val="009A2208"/>
    <w:rsid w:val="009A241E"/>
    <w:rsid w:val="009A35DC"/>
    <w:rsid w:val="009A3CAE"/>
    <w:rsid w:val="009A3E95"/>
    <w:rsid w:val="009A4C0F"/>
    <w:rsid w:val="009A528E"/>
    <w:rsid w:val="009A5616"/>
    <w:rsid w:val="009A57CB"/>
    <w:rsid w:val="009A5950"/>
    <w:rsid w:val="009A6299"/>
    <w:rsid w:val="009A6DEF"/>
    <w:rsid w:val="009A764E"/>
    <w:rsid w:val="009A771A"/>
    <w:rsid w:val="009A78C1"/>
    <w:rsid w:val="009B07B9"/>
    <w:rsid w:val="009B0A4B"/>
    <w:rsid w:val="009B0FE0"/>
    <w:rsid w:val="009B104F"/>
    <w:rsid w:val="009B1848"/>
    <w:rsid w:val="009B2952"/>
    <w:rsid w:val="009B31C9"/>
    <w:rsid w:val="009B3B82"/>
    <w:rsid w:val="009B4410"/>
    <w:rsid w:val="009B4C3E"/>
    <w:rsid w:val="009B513F"/>
    <w:rsid w:val="009B55C7"/>
    <w:rsid w:val="009B5646"/>
    <w:rsid w:val="009B582E"/>
    <w:rsid w:val="009B5BFA"/>
    <w:rsid w:val="009B5F75"/>
    <w:rsid w:val="009B602E"/>
    <w:rsid w:val="009B6DC9"/>
    <w:rsid w:val="009B78F2"/>
    <w:rsid w:val="009C0025"/>
    <w:rsid w:val="009C138A"/>
    <w:rsid w:val="009C148E"/>
    <w:rsid w:val="009C2603"/>
    <w:rsid w:val="009C367C"/>
    <w:rsid w:val="009C3711"/>
    <w:rsid w:val="009C4042"/>
    <w:rsid w:val="009C4C14"/>
    <w:rsid w:val="009C59E6"/>
    <w:rsid w:val="009C5B67"/>
    <w:rsid w:val="009C5C89"/>
    <w:rsid w:val="009C61F8"/>
    <w:rsid w:val="009C642E"/>
    <w:rsid w:val="009C655F"/>
    <w:rsid w:val="009C67EF"/>
    <w:rsid w:val="009C780F"/>
    <w:rsid w:val="009C7A14"/>
    <w:rsid w:val="009D00D1"/>
    <w:rsid w:val="009D0B9C"/>
    <w:rsid w:val="009D0CA6"/>
    <w:rsid w:val="009D106F"/>
    <w:rsid w:val="009D1E80"/>
    <w:rsid w:val="009D23E4"/>
    <w:rsid w:val="009D2800"/>
    <w:rsid w:val="009D34D0"/>
    <w:rsid w:val="009D35E3"/>
    <w:rsid w:val="009D361E"/>
    <w:rsid w:val="009D408F"/>
    <w:rsid w:val="009D4337"/>
    <w:rsid w:val="009D450B"/>
    <w:rsid w:val="009D4A8D"/>
    <w:rsid w:val="009D4E19"/>
    <w:rsid w:val="009D5814"/>
    <w:rsid w:val="009D675F"/>
    <w:rsid w:val="009D7560"/>
    <w:rsid w:val="009D7698"/>
    <w:rsid w:val="009D76F9"/>
    <w:rsid w:val="009D774B"/>
    <w:rsid w:val="009D7D4D"/>
    <w:rsid w:val="009E006E"/>
    <w:rsid w:val="009E057E"/>
    <w:rsid w:val="009E1695"/>
    <w:rsid w:val="009E19CE"/>
    <w:rsid w:val="009E1EE1"/>
    <w:rsid w:val="009E2758"/>
    <w:rsid w:val="009E28B2"/>
    <w:rsid w:val="009E388F"/>
    <w:rsid w:val="009E3D66"/>
    <w:rsid w:val="009E3EFF"/>
    <w:rsid w:val="009E4865"/>
    <w:rsid w:val="009E5042"/>
    <w:rsid w:val="009E5469"/>
    <w:rsid w:val="009E59D5"/>
    <w:rsid w:val="009E6EA8"/>
    <w:rsid w:val="009E7A32"/>
    <w:rsid w:val="009F0EAB"/>
    <w:rsid w:val="009F1C7F"/>
    <w:rsid w:val="009F1FB1"/>
    <w:rsid w:val="009F2234"/>
    <w:rsid w:val="009F2329"/>
    <w:rsid w:val="009F30CC"/>
    <w:rsid w:val="009F3E6A"/>
    <w:rsid w:val="009F4E97"/>
    <w:rsid w:val="009F5572"/>
    <w:rsid w:val="009F5EB9"/>
    <w:rsid w:val="009F692D"/>
    <w:rsid w:val="009F6CCA"/>
    <w:rsid w:val="00A01866"/>
    <w:rsid w:val="00A01DFC"/>
    <w:rsid w:val="00A02274"/>
    <w:rsid w:val="00A0483D"/>
    <w:rsid w:val="00A05455"/>
    <w:rsid w:val="00A059C5"/>
    <w:rsid w:val="00A05A89"/>
    <w:rsid w:val="00A05BE7"/>
    <w:rsid w:val="00A05FB3"/>
    <w:rsid w:val="00A0735D"/>
    <w:rsid w:val="00A07CD5"/>
    <w:rsid w:val="00A1023B"/>
    <w:rsid w:val="00A11766"/>
    <w:rsid w:val="00A11B08"/>
    <w:rsid w:val="00A11F47"/>
    <w:rsid w:val="00A12C66"/>
    <w:rsid w:val="00A12E6D"/>
    <w:rsid w:val="00A13EB3"/>
    <w:rsid w:val="00A15021"/>
    <w:rsid w:val="00A161C1"/>
    <w:rsid w:val="00A16239"/>
    <w:rsid w:val="00A17156"/>
    <w:rsid w:val="00A17781"/>
    <w:rsid w:val="00A20242"/>
    <w:rsid w:val="00A20310"/>
    <w:rsid w:val="00A240ED"/>
    <w:rsid w:val="00A2461F"/>
    <w:rsid w:val="00A247BF"/>
    <w:rsid w:val="00A25015"/>
    <w:rsid w:val="00A2531A"/>
    <w:rsid w:val="00A25B68"/>
    <w:rsid w:val="00A2603B"/>
    <w:rsid w:val="00A260E4"/>
    <w:rsid w:val="00A2676D"/>
    <w:rsid w:val="00A27187"/>
    <w:rsid w:val="00A271B5"/>
    <w:rsid w:val="00A27DE8"/>
    <w:rsid w:val="00A27E16"/>
    <w:rsid w:val="00A30E14"/>
    <w:rsid w:val="00A314CE"/>
    <w:rsid w:val="00A32411"/>
    <w:rsid w:val="00A324E0"/>
    <w:rsid w:val="00A33751"/>
    <w:rsid w:val="00A33CE2"/>
    <w:rsid w:val="00A34EC2"/>
    <w:rsid w:val="00A351FE"/>
    <w:rsid w:val="00A358D5"/>
    <w:rsid w:val="00A36340"/>
    <w:rsid w:val="00A37A30"/>
    <w:rsid w:val="00A40BD1"/>
    <w:rsid w:val="00A41819"/>
    <w:rsid w:val="00A41B8C"/>
    <w:rsid w:val="00A42731"/>
    <w:rsid w:val="00A427D4"/>
    <w:rsid w:val="00A42FA2"/>
    <w:rsid w:val="00A4316F"/>
    <w:rsid w:val="00A44177"/>
    <w:rsid w:val="00A448E2"/>
    <w:rsid w:val="00A44F4E"/>
    <w:rsid w:val="00A45A33"/>
    <w:rsid w:val="00A4669F"/>
    <w:rsid w:val="00A47D47"/>
    <w:rsid w:val="00A50F7B"/>
    <w:rsid w:val="00A51474"/>
    <w:rsid w:val="00A51561"/>
    <w:rsid w:val="00A51DA5"/>
    <w:rsid w:val="00A522B0"/>
    <w:rsid w:val="00A52619"/>
    <w:rsid w:val="00A52BD2"/>
    <w:rsid w:val="00A52E68"/>
    <w:rsid w:val="00A5472F"/>
    <w:rsid w:val="00A54DF5"/>
    <w:rsid w:val="00A55526"/>
    <w:rsid w:val="00A55B58"/>
    <w:rsid w:val="00A56E3C"/>
    <w:rsid w:val="00A579AB"/>
    <w:rsid w:val="00A57ED4"/>
    <w:rsid w:val="00A603E3"/>
    <w:rsid w:val="00A60BB1"/>
    <w:rsid w:val="00A6173E"/>
    <w:rsid w:val="00A62081"/>
    <w:rsid w:val="00A6256F"/>
    <w:rsid w:val="00A62948"/>
    <w:rsid w:val="00A63678"/>
    <w:rsid w:val="00A6372B"/>
    <w:rsid w:val="00A6444B"/>
    <w:rsid w:val="00A64758"/>
    <w:rsid w:val="00A648A0"/>
    <w:rsid w:val="00A64A87"/>
    <w:rsid w:val="00A65604"/>
    <w:rsid w:val="00A6591F"/>
    <w:rsid w:val="00A65995"/>
    <w:rsid w:val="00A65E35"/>
    <w:rsid w:val="00A65F31"/>
    <w:rsid w:val="00A66189"/>
    <w:rsid w:val="00A66405"/>
    <w:rsid w:val="00A665E5"/>
    <w:rsid w:val="00A666FC"/>
    <w:rsid w:val="00A7056E"/>
    <w:rsid w:val="00A70EF8"/>
    <w:rsid w:val="00A711FE"/>
    <w:rsid w:val="00A712FC"/>
    <w:rsid w:val="00A71CF1"/>
    <w:rsid w:val="00A736B4"/>
    <w:rsid w:val="00A73ED1"/>
    <w:rsid w:val="00A743F5"/>
    <w:rsid w:val="00A745A8"/>
    <w:rsid w:val="00A7494C"/>
    <w:rsid w:val="00A750F6"/>
    <w:rsid w:val="00A75573"/>
    <w:rsid w:val="00A77907"/>
    <w:rsid w:val="00A77EA1"/>
    <w:rsid w:val="00A8061E"/>
    <w:rsid w:val="00A8090F"/>
    <w:rsid w:val="00A8173D"/>
    <w:rsid w:val="00A81864"/>
    <w:rsid w:val="00A81FBF"/>
    <w:rsid w:val="00A82BE3"/>
    <w:rsid w:val="00A82DE4"/>
    <w:rsid w:val="00A83A06"/>
    <w:rsid w:val="00A83AD1"/>
    <w:rsid w:val="00A840D5"/>
    <w:rsid w:val="00A86862"/>
    <w:rsid w:val="00A86BC2"/>
    <w:rsid w:val="00A8784D"/>
    <w:rsid w:val="00A91339"/>
    <w:rsid w:val="00A9198E"/>
    <w:rsid w:val="00A9208D"/>
    <w:rsid w:val="00A922C9"/>
    <w:rsid w:val="00A92A6C"/>
    <w:rsid w:val="00A9343B"/>
    <w:rsid w:val="00A946CE"/>
    <w:rsid w:val="00A947A3"/>
    <w:rsid w:val="00A94D00"/>
    <w:rsid w:val="00A94E71"/>
    <w:rsid w:val="00A95045"/>
    <w:rsid w:val="00A950D7"/>
    <w:rsid w:val="00A95111"/>
    <w:rsid w:val="00A95224"/>
    <w:rsid w:val="00A95793"/>
    <w:rsid w:val="00A958B7"/>
    <w:rsid w:val="00A95FA1"/>
    <w:rsid w:val="00A963BA"/>
    <w:rsid w:val="00A965BD"/>
    <w:rsid w:val="00A96A72"/>
    <w:rsid w:val="00A97183"/>
    <w:rsid w:val="00A972EB"/>
    <w:rsid w:val="00AA071D"/>
    <w:rsid w:val="00AA0994"/>
    <w:rsid w:val="00AA0B5A"/>
    <w:rsid w:val="00AA1897"/>
    <w:rsid w:val="00AA1A32"/>
    <w:rsid w:val="00AA1B46"/>
    <w:rsid w:val="00AA217D"/>
    <w:rsid w:val="00AA2B19"/>
    <w:rsid w:val="00AA31A3"/>
    <w:rsid w:val="00AA360A"/>
    <w:rsid w:val="00AA3BB3"/>
    <w:rsid w:val="00AA3F3B"/>
    <w:rsid w:val="00AA4681"/>
    <w:rsid w:val="00AA4A6F"/>
    <w:rsid w:val="00AA4DCB"/>
    <w:rsid w:val="00AA522E"/>
    <w:rsid w:val="00AA5526"/>
    <w:rsid w:val="00AA5BFA"/>
    <w:rsid w:val="00AA6438"/>
    <w:rsid w:val="00AA6AD3"/>
    <w:rsid w:val="00AA7475"/>
    <w:rsid w:val="00AA7DC5"/>
    <w:rsid w:val="00AB10E6"/>
    <w:rsid w:val="00AB22BE"/>
    <w:rsid w:val="00AB2621"/>
    <w:rsid w:val="00AB2F08"/>
    <w:rsid w:val="00AB37D6"/>
    <w:rsid w:val="00AB3BAD"/>
    <w:rsid w:val="00AB3DF5"/>
    <w:rsid w:val="00AB4172"/>
    <w:rsid w:val="00AB4568"/>
    <w:rsid w:val="00AB46E2"/>
    <w:rsid w:val="00AB5672"/>
    <w:rsid w:val="00AB5C0F"/>
    <w:rsid w:val="00AB6EF9"/>
    <w:rsid w:val="00AB7BAF"/>
    <w:rsid w:val="00AC0E30"/>
    <w:rsid w:val="00AC1F28"/>
    <w:rsid w:val="00AC3BCF"/>
    <w:rsid w:val="00AC4585"/>
    <w:rsid w:val="00AC4791"/>
    <w:rsid w:val="00AC47E2"/>
    <w:rsid w:val="00AC49EE"/>
    <w:rsid w:val="00AC51F3"/>
    <w:rsid w:val="00AC5230"/>
    <w:rsid w:val="00AC55BB"/>
    <w:rsid w:val="00AC66BC"/>
    <w:rsid w:val="00AC6A4D"/>
    <w:rsid w:val="00AC79AE"/>
    <w:rsid w:val="00AC7FBE"/>
    <w:rsid w:val="00AD0297"/>
    <w:rsid w:val="00AD1227"/>
    <w:rsid w:val="00AD15B5"/>
    <w:rsid w:val="00AD20A1"/>
    <w:rsid w:val="00AD259A"/>
    <w:rsid w:val="00AD25C4"/>
    <w:rsid w:val="00AD34BF"/>
    <w:rsid w:val="00AD35CB"/>
    <w:rsid w:val="00AD416F"/>
    <w:rsid w:val="00AD5D57"/>
    <w:rsid w:val="00AD6015"/>
    <w:rsid w:val="00AD631B"/>
    <w:rsid w:val="00AD635A"/>
    <w:rsid w:val="00AD648C"/>
    <w:rsid w:val="00AD6DE9"/>
    <w:rsid w:val="00AD6F6D"/>
    <w:rsid w:val="00AD7108"/>
    <w:rsid w:val="00AE00E3"/>
    <w:rsid w:val="00AE03A0"/>
    <w:rsid w:val="00AE082D"/>
    <w:rsid w:val="00AE12BB"/>
    <w:rsid w:val="00AE1FC2"/>
    <w:rsid w:val="00AE2327"/>
    <w:rsid w:val="00AE28E4"/>
    <w:rsid w:val="00AE2C48"/>
    <w:rsid w:val="00AE35EA"/>
    <w:rsid w:val="00AE3BCE"/>
    <w:rsid w:val="00AE4487"/>
    <w:rsid w:val="00AE5131"/>
    <w:rsid w:val="00AE533E"/>
    <w:rsid w:val="00AE5D01"/>
    <w:rsid w:val="00AE64B7"/>
    <w:rsid w:val="00AE65E0"/>
    <w:rsid w:val="00AE7762"/>
    <w:rsid w:val="00AE7F7F"/>
    <w:rsid w:val="00AF01E7"/>
    <w:rsid w:val="00AF083C"/>
    <w:rsid w:val="00AF365C"/>
    <w:rsid w:val="00AF3B0A"/>
    <w:rsid w:val="00AF3B6C"/>
    <w:rsid w:val="00AF3BF6"/>
    <w:rsid w:val="00AF4217"/>
    <w:rsid w:val="00AF5A8D"/>
    <w:rsid w:val="00AF689F"/>
    <w:rsid w:val="00AF7487"/>
    <w:rsid w:val="00AF7DD3"/>
    <w:rsid w:val="00AF7EE3"/>
    <w:rsid w:val="00AF7F7E"/>
    <w:rsid w:val="00B01569"/>
    <w:rsid w:val="00B0235F"/>
    <w:rsid w:val="00B023A8"/>
    <w:rsid w:val="00B02E0A"/>
    <w:rsid w:val="00B02E54"/>
    <w:rsid w:val="00B03961"/>
    <w:rsid w:val="00B03E75"/>
    <w:rsid w:val="00B04802"/>
    <w:rsid w:val="00B05CAF"/>
    <w:rsid w:val="00B06AC1"/>
    <w:rsid w:val="00B07A78"/>
    <w:rsid w:val="00B121B0"/>
    <w:rsid w:val="00B121EF"/>
    <w:rsid w:val="00B13A7F"/>
    <w:rsid w:val="00B144AD"/>
    <w:rsid w:val="00B146EE"/>
    <w:rsid w:val="00B14932"/>
    <w:rsid w:val="00B14A04"/>
    <w:rsid w:val="00B14A39"/>
    <w:rsid w:val="00B153D9"/>
    <w:rsid w:val="00B156BA"/>
    <w:rsid w:val="00B15AF7"/>
    <w:rsid w:val="00B15CE2"/>
    <w:rsid w:val="00B161D5"/>
    <w:rsid w:val="00B1622E"/>
    <w:rsid w:val="00B16701"/>
    <w:rsid w:val="00B173AE"/>
    <w:rsid w:val="00B176BA"/>
    <w:rsid w:val="00B206F5"/>
    <w:rsid w:val="00B20B30"/>
    <w:rsid w:val="00B20D28"/>
    <w:rsid w:val="00B21333"/>
    <w:rsid w:val="00B21C80"/>
    <w:rsid w:val="00B23557"/>
    <w:rsid w:val="00B236D2"/>
    <w:rsid w:val="00B23DD1"/>
    <w:rsid w:val="00B248A5"/>
    <w:rsid w:val="00B24CC3"/>
    <w:rsid w:val="00B24E41"/>
    <w:rsid w:val="00B24F46"/>
    <w:rsid w:val="00B257A6"/>
    <w:rsid w:val="00B25923"/>
    <w:rsid w:val="00B259F5"/>
    <w:rsid w:val="00B25B6D"/>
    <w:rsid w:val="00B26548"/>
    <w:rsid w:val="00B26D3C"/>
    <w:rsid w:val="00B26EA1"/>
    <w:rsid w:val="00B26F4A"/>
    <w:rsid w:val="00B27B02"/>
    <w:rsid w:val="00B301C3"/>
    <w:rsid w:val="00B307EB"/>
    <w:rsid w:val="00B30A1F"/>
    <w:rsid w:val="00B30A51"/>
    <w:rsid w:val="00B30C36"/>
    <w:rsid w:val="00B30D7B"/>
    <w:rsid w:val="00B3126F"/>
    <w:rsid w:val="00B3142D"/>
    <w:rsid w:val="00B31462"/>
    <w:rsid w:val="00B316DF"/>
    <w:rsid w:val="00B31D80"/>
    <w:rsid w:val="00B31F47"/>
    <w:rsid w:val="00B34B89"/>
    <w:rsid w:val="00B35A4F"/>
    <w:rsid w:val="00B36333"/>
    <w:rsid w:val="00B36D99"/>
    <w:rsid w:val="00B36F1D"/>
    <w:rsid w:val="00B37F4B"/>
    <w:rsid w:val="00B40339"/>
    <w:rsid w:val="00B40392"/>
    <w:rsid w:val="00B4077F"/>
    <w:rsid w:val="00B40817"/>
    <w:rsid w:val="00B40B90"/>
    <w:rsid w:val="00B41C29"/>
    <w:rsid w:val="00B420B5"/>
    <w:rsid w:val="00B42290"/>
    <w:rsid w:val="00B4251E"/>
    <w:rsid w:val="00B42BFB"/>
    <w:rsid w:val="00B42C38"/>
    <w:rsid w:val="00B43BD7"/>
    <w:rsid w:val="00B444B1"/>
    <w:rsid w:val="00B45B3C"/>
    <w:rsid w:val="00B45FBA"/>
    <w:rsid w:val="00B46241"/>
    <w:rsid w:val="00B46CE0"/>
    <w:rsid w:val="00B471F1"/>
    <w:rsid w:val="00B47EC7"/>
    <w:rsid w:val="00B50660"/>
    <w:rsid w:val="00B50C4A"/>
    <w:rsid w:val="00B50CAB"/>
    <w:rsid w:val="00B50F81"/>
    <w:rsid w:val="00B5118B"/>
    <w:rsid w:val="00B512A7"/>
    <w:rsid w:val="00B514DB"/>
    <w:rsid w:val="00B523AD"/>
    <w:rsid w:val="00B528ED"/>
    <w:rsid w:val="00B52FD9"/>
    <w:rsid w:val="00B5340E"/>
    <w:rsid w:val="00B536C8"/>
    <w:rsid w:val="00B5380B"/>
    <w:rsid w:val="00B54018"/>
    <w:rsid w:val="00B5510B"/>
    <w:rsid w:val="00B55756"/>
    <w:rsid w:val="00B55B26"/>
    <w:rsid w:val="00B57B9C"/>
    <w:rsid w:val="00B60145"/>
    <w:rsid w:val="00B6066C"/>
    <w:rsid w:val="00B60815"/>
    <w:rsid w:val="00B619F6"/>
    <w:rsid w:val="00B620E5"/>
    <w:rsid w:val="00B62B41"/>
    <w:rsid w:val="00B63547"/>
    <w:rsid w:val="00B64048"/>
    <w:rsid w:val="00B642FE"/>
    <w:rsid w:val="00B660C3"/>
    <w:rsid w:val="00B661ED"/>
    <w:rsid w:val="00B664C4"/>
    <w:rsid w:val="00B66835"/>
    <w:rsid w:val="00B70789"/>
    <w:rsid w:val="00B708CE"/>
    <w:rsid w:val="00B70FD3"/>
    <w:rsid w:val="00B7141A"/>
    <w:rsid w:val="00B72D41"/>
    <w:rsid w:val="00B72D9D"/>
    <w:rsid w:val="00B73010"/>
    <w:rsid w:val="00B73BFE"/>
    <w:rsid w:val="00B7432B"/>
    <w:rsid w:val="00B752BE"/>
    <w:rsid w:val="00B75521"/>
    <w:rsid w:val="00B7579B"/>
    <w:rsid w:val="00B75CE6"/>
    <w:rsid w:val="00B76646"/>
    <w:rsid w:val="00B7690D"/>
    <w:rsid w:val="00B76966"/>
    <w:rsid w:val="00B76DAC"/>
    <w:rsid w:val="00B779C7"/>
    <w:rsid w:val="00B8104F"/>
    <w:rsid w:val="00B816E9"/>
    <w:rsid w:val="00B81A39"/>
    <w:rsid w:val="00B81C4F"/>
    <w:rsid w:val="00B82431"/>
    <w:rsid w:val="00B834F9"/>
    <w:rsid w:val="00B83D15"/>
    <w:rsid w:val="00B83EF9"/>
    <w:rsid w:val="00B845F5"/>
    <w:rsid w:val="00B84CFD"/>
    <w:rsid w:val="00B84D24"/>
    <w:rsid w:val="00B84D71"/>
    <w:rsid w:val="00B85368"/>
    <w:rsid w:val="00B85DA7"/>
    <w:rsid w:val="00B8675A"/>
    <w:rsid w:val="00B86C25"/>
    <w:rsid w:val="00B87EA0"/>
    <w:rsid w:val="00B9111E"/>
    <w:rsid w:val="00B91841"/>
    <w:rsid w:val="00B91A8E"/>
    <w:rsid w:val="00B924FE"/>
    <w:rsid w:val="00B9275C"/>
    <w:rsid w:val="00B93179"/>
    <w:rsid w:val="00B93505"/>
    <w:rsid w:val="00B937D9"/>
    <w:rsid w:val="00B93B56"/>
    <w:rsid w:val="00B93FD6"/>
    <w:rsid w:val="00B9404A"/>
    <w:rsid w:val="00B950BA"/>
    <w:rsid w:val="00B9628B"/>
    <w:rsid w:val="00B96BA6"/>
    <w:rsid w:val="00BA061F"/>
    <w:rsid w:val="00BA0631"/>
    <w:rsid w:val="00BA076F"/>
    <w:rsid w:val="00BA0CEE"/>
    <w:rsid w:val="00BA0E33"/>
    <w:rsid w:val="00BA113F"/>
    <w:rsid w:val="00BA18B3"/>
    <w:rsid w:val="00BA1CDB"/>
    <w:rsid w:val="00BA1D60"/>
    <w:rsid w:val="00BA1FE7"/>
    <w:rsid w:val="00BA35AD"/>
    <w:rsid w:val="00BA3608"/>
    <w:rsid w:val="00BA37CF"/>
    <w:rsid w:val="00BA3D4A"/>
    <w:rsid w:val="00BA4691"/>
    <w:rsid w:val="00BA4881"/>
    <w:rsid w:val="00BA4F87"/>
    <w:rsid w:val="00BA5D09"/>
    <w:rsid w:val="00BB1DD6"/>
    <w:rsid w:val="00BB25C5"/>
    <w:rsid w:val="00BB2B17"/>
    <w:rsid w:val="00BB346B"/>
    <w:rsid w:val="00BB3B2F"/>
    <w:rsid w:val="00BB41F8"/>
    <w:rsid w:val="00BB47CC"/>
    <w:rsid w:val="00BB4EA8"/>
    <w:rsid w:val="00BB5213"/>
    <w:rsid w:val="00BB5246"/>
    <w:rsid w:val="00BB5499"/>
    <w:rsid w:val="00BB57F9"/>
    <w:rsid w:val="00BB6520"/>
    <w:rsid w:val="00BB7065"/>
    <w:rsid w:val="00BB709D"/>
    <w:rsid w:val="00BB722F"/>
    <w:rsid w:val="00BB7268"/>
    <w:rsid w:val="00BB7663"/>
    <w:rsid w:val="00BB76EC"/>
    <w:rsid w:val="00BB7BF0"/>
    <w:rsid w:val="00BC0189"/>
    <w:rsid w:val="00BC093A"/>
    <w:rsid w:val="00BC0BA5"/>
    <w:rsid w:val="00BC0FF7"/>
    <w:rsid w:val="00BC18D2"/>
    <w:rsid w:val="00BC196F"/>
    <w:rsid w:val="00BC1DEF"/>
    <w:rsid w:val="00BC2904"/>
    <w:rsid w:val="00BC30EB"/>
    <w:rsid w:val="00BC42CA"/>
    <w:rsid w:val="00BC4762"/>
    <w:rsid w:val="00BC4852"/>
    <w:rsid w:val="00BC48BF"/>
    <w:rsid w:val="00BC4925"/>
    <w:rsid w:val="00BC4B64"/>
    <w:rsid w:val="00BC4D70"/>
    <w:rsid w:val="00BC4D8C"/>
    <w:rsid w:val="00BC4F57"/>
    <w:rsid w:val="00BC52D3"/>
    <w:rsid w:val="00BC6246"/>
    <w:rsid w:val="00BC6F23"/>
    <w:rsid w:val="00BD0064"/>
    <w:rsid w:val="00BD0292"/>
    <w:rsid w:val="00BD0333"/>
    <w:rsid w:val="00BD04AE"/>
    <w:rsid w:val="00BD1081"/>
    <w:rsid w:val="00BD1452"/>
    <w:rsid w:val="00BD18BD"/>
    <w:rsid w:val="00BD230B"/>
    <w:rsid w:val="00BD23C9"/>
    <w:rsid w:val="00BD2B18"/>
    <w:rsid w:val="00BD2DCE"/>
    <w:rsid w:val="00BD2DF6"/>
    <w:rsid w:val="00BD327E"/>
    <w:rsid w:val="00BD4361"/>
    <w:rsid w:val="00BD43BD"/>
    <w:rsid w:val="00BD5F69"/>
    <w:rsid w:val="00BD6240"/>
    <w:rsid w:val="00BD73A1"/>
    <w:rsid w:val="00BD744D"/>
    <w:rsid w:val="00BD7B49"/>
    <w:rsid w:val="00BE1707"/>
    <w:rsid w:val="00BE1747"/>
    <w:rsid w:val="00BE1B80"/>
    <w:rsid w:val="00BE1CC4"/>
    <w:rsid w:val="00BE2408"/>
    <w:rsid w:val="00BE27C9"/>
    <w:rsid w:val="00BE289C"/>
    <w:rsid w:val="00BE28B9"/>
    <w:rsid w:val="00BE3185"/>
    <w:rsid w:val="00BE34B9"/>
    <w:rsid w:val="00BE3643"/>
    <w:rsid w:val="00BE3ACB"/>
    <w:rsid w:val="00BE3D2C"/>
    <w:rsid w:val="00BE3E7D"/>
    <w:rsid w:val="00BE41FA"/>
    <w:rsid w:val="00BE421A"/>
    <w:rsid w:val="00BE42BD"/>
    <w:rsid w:val="00BE48FD"/>
    <w:rsid w:val="00BE6C8C"/>
    <w:rsid w:val="00BE6E02"/>
    <w:rsid w:val="00BE7C59"/>
    <w:rsid w:val="00BF0082"/>
    <w:rsid w:val="00BF0551"/>
    <w:rsid w:val="00BF119A"/>
    <w:rsid w:val="00BF2229"/>
    <w:rsid w:val="00BF2BEA"/>
    <w:rsid w:val="00BF3143"/>
    <w:rsid w:val="00BF4602"/>
    <w:rsid w:val="00BF4677"/>
    <w:rsid w:val="00BF5752"/>
    <w:rsid w:val="00BF5A36"/>
    <w:rsid w:val="00BF5DE8"/>
    <w:rsid w:val="00BF72F9"/>
    <w:rsid w:val="00BF7E5B"/>
    <w:rsid w:val="00C00552"/>
    <w:rsid w:val="00C005A6"/>
    <w:rsid w:val="00C0078F"/>
    <w:rsid w:val="00C00929"/>
    <w:rsid w:val="00C00BD2"/>
    <w:rsid w:val="00C0138A"/>
    <w:rsid w:val="00C018F2"/>
    <w:rsid w:val="00C01C4F"/>
    <w:rsid w:val="00C02033"/>
    <w:rsid w:val="00C030F0"/>
    <w:rsid w:val="00C03216"/>
    <w:rsid w:val="00C03402"/>
    <w:rsid w:val="00C036A6"/>
    <w:rsid w:val="00C03876"/>
    <w:rsid w:val="00C03B39"/>
    <w:rsid w:val="00C03F9E"/>
    <w:rsid w:val="00C04458"/>
    <w:rsid w:val="00C04527"/>
    <w:rsid w:val="00C04A67"/>
    <w:rsid w:val="00C04EA4"/>
    <w:rsid w:val="00C05FED"/>
    <w:rsid w:val="00C060F1"/>
    <w:rsid w:val="00C06425"/>
    <w:rsid w:val="00C064AB"/>
    <w:rsid w:val="00C06ACC"/>
    <w:rsid w:val="00C06D90"/>
    <w:rsid w:val="00C125A0"/>
    <w:rsid w:val="00C12F94"/>
    <w:rsid w:val="00C139AE"/>
    <w:rsid w:val="00C146B6"/>
    <w:rsid w:val="00C14800"/>
    <w:rsid w:val="00C14976"/>
    <w:rsid w:val="00C149CF"/>
    <w:rsid w:val="00C14A7D"/>
    <w:rsid w:val="00C14BB5"/>
    <w:rsid w:val="00C14C0F"/>
    <w:rsid w:val="00C15568"/>
    <w:rsid w:val="00C15F7F"/>
    <w:rsid w:val="00C16B2E"/>
    <w:rsid w:val="00C17256"/>
    <w:rsid w:val="00C17562"/>
    <w:rsid w:val="00C176B4"/>
    <w:rsid w:val="00C17918"/>
    <w:rsid w:val="00C17B66"/>
    <w:rsid w:val="00C20062"/>
    <w:rsid w:val="00C2030A"/>
    <w:rsid w:val="00C20817"/>
    <w:rsid w:val="00C20899"/>
    <w:rsid w:val="00C21DC3"/>
    <w:rsid w:val="00C222D1"/>
    <w:rsid w:val="00C22E48"/>
    <w:rsid w:val="00C23D8E"/>
    <w:rsid w:val="00C24DD9"/>
    <w:rsid w:val="00C25318"/>
    <w:rsid w:val="00C2536A"/>
    <w:rsid w:val="00C25507"/>
    <w:rsid w:val="00C269BC"/>
    <w:rsid w:val="00C271C8"/>
    <w:rsid w:val="00C2781B"/>
    <w:rsid w:val="00C27986"/>
    <w:rsid w:val="00C27BC8"/>
    <w:rsid w:val="00C306C0"/>
    <w:rsid w:val="00C308BD"/>
    <w:rsid w:val="00C308D6"/>
    <w:rsid w:val="00C30A84"/>
    <w:rsid w:val="00C32BC4"/>
    <w:rsid w:val="00C331FC"/>
    <w:rsid w:val="00C3328D"/>
    <w:rsid w:val="00C33D6C"/>
    <w:rsid w:val="00C34017"/>
    <w:rsid w:val="00C344E1"/>
    <w:rsid w:val="00C34D97"/>
    <w:rsid w:val="00C34DDD"/>
    <w:rsid w:val="00C34FB2"/>
    <w:rsid w:val="00C350C7"/>
    <w:rsid w:val="00C358A7"/>
    <w:rsid w:val="00C3661C"/>
    <w:rsid w:val="00C36B53"/>
    <w:rsid w:val="00C36BC7"/>
    <w:rsid w:val="00C36BCD"/>
    <w:rsid w:val="00C37458"/>
    <w:rsid w:val="00C378B1"/>
    <w:rsid w:val="00C37E4C"/>
    <w:rsid w:val="00C400D0"/>
    <w:rsid w:val="00C408CE"/>
    <w:rsid w:val="00C4091B"/>
    <w:rsid w:val="00C41509"/>
    <w:rsid w:val="00C42664"/>
    <w:rsid w:val="00C427F1"/>
    <w:rsid w:val="00C42B56"/>
    <w:rsid w:val="00C42D4E"/>
    <w:rsid w:val="00C42F0F"/>
    <w:rsid w:val="00C42FB7"/>
    <w:rsid w:val="00C439AE"/>
    <w:rsid w:val="00C44099"/>
    <w:rsid w:val="00C4434B"/>
    <w:rsid w:val="00C456CC"/>
    <w:rsid w:val="00C45714"/>
    <w:rsid w:val="00C466C1"/>
    <w:rsid w:val="00C46A35"/>
    <w:rsid w:val="00C47881"/>
    <w:rsid w:val="00C51A35"/>
    <w:rsid w:val="00C51C57"/>
    <w:rsid w:val="00C52277"/>
    <w:rsid w:val="00C5261F"/>
    <w:rsid w:val="00C5277D"/>
    <w:rsid w:val="00C53087"/>
    <w:rsid w:val="00C536C3"/>
    <w:rsid w:val="00C536C6"/>
    <w:rsid w:val="00C53A04"/>
    <w:rsid w:val="00C53EE9"/>
    <w:rsid w:val="00C54B01"/>
    <w:rsid w:val="00C54C35"/>
    <w:rsid w:val="00C550AC"/>
    <w:rsid w:val="00C554E5"/>
    <w:rsid w:val="00C55D2D"/>
    <w:rsid w:val="00C56076"/>
    <w:rsid w:val="00C56653"/>
    <w:rsid w:val="00C56AAD"/>
    <w:rsid w:val="00C60E18"/>
    <w:rsid w:val="00C61873"/>
    <w:rsid w:val="00C6190D"/>
    <w:rsid w:val="00C61B88"/>
    <w:rsid w:val="00C62376"/>
    <w:rsid w:val="00C6264B"/>
    <w:rsid w:val="00C62654"/>
    <w:rsid w:val="00C62B7D"/>
    <w:rsid w:val="00C63725"/>
    <w:rsid w:val="00C65F9A"/>
    <w:rsid w:val="00C669F0"/>
    <w:rsid w:val="00C66B65"/>
    <w:rsid w:val="00C66F6E"/>
    <w:rsid w:val="00C66FB0"/>
    <w:rsid w:val="00C673B7"/>
    <w:rsid w:val="00C67A24"/>
    <w:rsid w:val="00C67B99"/>
    <w:rsid w:val="00C72915"/>
    <w:rsid w:val="00C72A7C"/>
    <w:rsid w:val="00C7318E"/>
    <w:rsid w:val="00C73688"/>
    <w:rsid w:val="00C73B81"/>
    <w:rsid w:val="00C73FDC"/>
    <w:rsid w:val="00C7489E"/>
    <w:rsid w:val="00C74BE2"/>
    <w:rsid w:val="00C74C9B"/>
    <w:rsid w:val="00C74E6E"/>
    <w:rsid w:val="00C75038"/>
    <w:rsid w:val="00C75750"/>
    <w:rsid w:val="00C75808"/>
    <w:rsid w:val="00C76228"/>
    <w:rsid w:val="00C77399"/>
    <w:rsid w:val="00C80147"/>
    <w:rsid w:val="00C80488"/>
    <w:rsid w:val="00C80739"/>
    <w:rsid w:val="00C80DDE"/>
    <w:rsid w:val="00C8114F"/>
    <w:rsid w:val="00C817BA"/>
    <w:rsid w:val="00C81E26"/>
    <w:rsid w:val="00C81E65"/>
    <w:rsid w:val="00C83102"/>
    <w:rsid w:val="00C83425"/>
    <w:rsid w:val="00C840D5"/>
    <w:rsid w:val="00C84FB6"/>
    <w:rsid w:val="00C86E40"/>
    <w:rsid w:val="00C87389"/>
    <w:rsid w:val="00C87B46"/>
    <w:rsid w:val="00C90A02"/>
    <w:rsid w:val="00C90EDB"/>
    <w:rsid w:val="00C90F4D"/>
    <w:rsid w:val="00C91066"/>
    <w:rsid w:val="00C91743"/>
    <w:rsid w:val="00C91997"/>
    <w:rsid w:val="00C91C82"/>
    <w:rsid w:val="00C91D86"/>
    <w:rsid w:val="00C921AA"/>
    <w:rsid w:val="00C924F9"/>
    <w:rsid w:val="00C93540"/>
    <w:rsid w:val="00C935F6"/>
    <w:rsid w:val="00C95252"/>
    <w:rsid w:val="00C95947"/>
    <w:rsid w:val="00C959FB"/>
    <w:rsid w:val="00C968DE"/>
    <w:rsid w:val="00C968EB"/>
    <w:rsid w:val="00C97EBD"/>
    <w:rsid w:val="00CA0322"/>
    <w:rsid w:val="00CA0480"/>
    <w:rsid w:val="00CA08CD"/>
    <w:rsid w:val="00CA16CF"/>
    <w:rsid w:val="00CA1D11"/>
    <w:rsid w:val="00CA207C"/>
    <w:rsid w:val="00CA408F"/>
    <w:rsid w:val="00CA4C78"/>
    <w:rsid w:val="00CA4E7F"/>
    <w:rsid w:val="00CA574C"/>
    <w:rsid w:val="00CA5AF4"/>
    <w:rsid w:val="00CA5BD9"/>
    <w:rsid w:val="00CA6506"/>
    <w:rsid w:val="00CA76C3"/>
    <w:rsid w:val="00CA794F"/>
    <w:rsid w:val="00CB0241"/>
    <w:rsid w:val="00CB0E5B"/>
    <w:rsid w:val="00CB1B56"/>
    <w:rsid w:val="00CB1FE4"/>
    <w:rsid w:val="00CB26C9"/>
    <w:rsid w:val="00CB2DCD"/>
    <w:rsid w:val="00CB3C7D"/>
    <w:rsid w:val="00CB57CD"/>
    <w:rsid w:val="00CB7414"/>
    <w:rsid w:val="00CB7701"/>
    <w:rsid w:val="00CB7E97"/>
    <w:rsid w:val="00CC02DE"/>
    <w:rsid w:val="00CC2CDB"/>
    <w:rsid w:val="00CC31DF"/>
    <w:rsid w:val="00CC3267"/>
    <w:rsid w:val="00CC3C6E"/>
    <w:rsid w:val="00CC3C8A"/>
    <w:rsid w:val="00CC3CBE"/>
    <w:rsid w:val="00CC3F71"/>
    <w:rsid w:val="00CC4273"/>
    <w:rsid w:val="00CC4C00"/>
    <w:rsid w:val="00CC517C"/>
    <w:rsid w:val="00CC53D3"/>
    <w:rsid w:val="00CC5554"/>
    <w:rsid w:val="00CC6328"/>
    <w:rsid w:val="00CC70A9"/>
    <w:rsid w:val="00CC715A"/>
    <w:rsid w:val="00CC77F3"/>
    <w:rsid w:val="00CD0114"/>
    <w:rsid w:val="00CD044F"/>
    <w:rsid w:val="00CD2702"/>
    <w:rsid w:val="00CD2E89"/>
    <w:rsid w:val="00CD2F17"/>
    <w:rsid w:val="00CD2FEB"/>
    <w:rsid w:val="00CD3236"/>
    <w:rsid w:val="00CD35F7"/>
    <w:rsid w:val="00CD36CA"/>
    <w:rsid w:val="00CD43DF"/>
    <w:rsid w:val="00CD440B"/>
    <w:rsid w:val="00CD4584"/>
    <w:rsid w:val="00CD5689"/>
    <w:rsid w:val="00CD56E3"/>
    <w:rsid w:val="00CD572E"/>
    <w:rsid w:val="00CD5A5E"/>
    <w:rsid w:val="00CD6629"/>
    <w:rsid w:val="00CD6AFB"/>
    <w:rsid w:val="00CD6EF0"/>
    <w:rsid w:val="00CD6FCE"/>
    <w:rsid w:val="00CD7891"/>
    <w:rsid w:val="00CD7B71"/>
    <w:rsid w:val="00CE042F"/>
    <w:rsid w:val="00CE0449"/>
    <w:rsid w:val="00CE122A"/>
    <w:rsid w:val="00CE12AC"/>
    <w:rsid w:val="00CE15F3"/>
    <w:rsid w:val="00CE1A92"/>
    <w:rsid w:val="00CE1EC3"/>
    <w:rsid w:val="00CE2807"/>
    <w:rsid w:val="00CE2EBC"/>
    <w:rsid w:val="00CE30B7"/>
    <w:rsid w:val="00CE3655"/>
    <w:rsid w:val="00CE407D"/>
    <w:rsid w:val="00CE4A32"/>
    <w:rsid w:val="00CE4AF5"/>
    <w:rsid w:val="00CE4C2E"/>
    <w:rsid w:val="00CE6A0E"/>
    <w:rsid w:val="00CE752B"/>
    <w:rsid w:val="00CE7A03"/>
    <w:rsid w:val="00CF0ABA"/>
    <w:rsid w:val="00CF0BBD"/>
    <w:rsid w:val="00CF157E"/>
    <w:rsid w:val="00CF1BFA"/>
    <w:rsid w:val="00CF1C3C"/>
    <w:rsid w:val="00CF205D"/>
    <w:rsid w:val="00CF244B"/>
    <w:rsid w:val="00CF35E4"/>
    <w:rsid w:val="00CF3D5C"/>
    <w:rsid w:val="00CF3F47"/>
    <w:rsid w:val="00CF6D0A"/>
    <w:rsid w:val="00CF7074"/>
    <w:rsid w:val="00CF75D4"/>
    <w:rsid w:val="00CF77FB"/>
    <w:rsid w:val="00CF7BCC"/>
    <w:rsid w:val="00D00755"/>
    <w:rsid w:val="00D008F6"/>
    <w:rsid w:val="00D010D8"/>
    <w:rsid w:val="00D01199"/>
    <w:rsid w:val="00D01EB4"/>
    <w:rsid w:val="00D021BF"/>
    <w:rsid w:val="00D03BAD"/>
    <w:rsid w:val="00D03E61"/>
    <w:rsid w:val="00D04563"/>
    <w:rsid w:val="00D05531"/>
    <w:rsid w:val="00D05A51"/>
    <w:rsid w:val="00D06125"/>
    <w:rsid w:val="00D061ED"/>
    <w:rsid w:val="00D06598"/>
    <w:rsid w:val="00D07313"/>
    <w:rsid w:val="00D07791"/>
    <w:rsid w:val="00D079AC"/>
    <w:rsid w:val="00D07B37"/>
    <w:rsid w:val="00D104EC"/>
    <w:rsid w:val="00D11992"/>
    <w:rsid w:val="00D11F0F"/>
    <w:rsid w:val="00D12DF6"/>
    <w:rsid w:val="00D12F45"/>
    <w:rsid w:val="00D13A3E"/>
    <w:rsid w:val="00D13E69"/>
    <w:rsid w:val="00D13F49"/>
    <w:rsid w:val="00D14DB1"/>
    <w:rsid w:val="00D14F0D"/>
    <w:rsid w:val="00D150EB"/>
    <w:rsid w:val="00D15261"/>
    <w:rsid w:val="00D15ADC"/>
    <w:rsid w:val="00D1638E"/>
    <w:rsid w:val="00D168A2"/>
    <w:rsid w:val="00D16D76"/>
    <w:rsid w:val="00D16ED8"/>
    <w:rsid w:val="00D17C19"/>
    <w:rsid w:val="00D17E53"/>
    <w:rsid w:val="00D2119C"/>
    <w:rsid w:val="00D21319"/>
    <w:rsid w:val="00D2142B"/>
    <w:rsid w:val="00D22462"/>
    <w:rsid w:val="00D22C59"/>
    <w:rsid w:val="00D22E55"/>
    <w:rsid w:val="00D231E9"/>
    <w:rsid w:val="00D23539"/>
    <w:rsid w:val="00D24164"/>
    <w:rsid w:val="00D256D2"/>
    <w:rsid w:val="00D25931"/>
    <w:rsid w:val="00D25ACF"/>
    <w:rsid w:val="00D2742F"/>
    <w:rsid w:val="00D276F0"/>
    <w:rsid w:val="00D27BFA"/>
    <w:rsid w:val="00D27C4D"/>
    <w:rsid w:val="00D27FF9"/>
    <w:rsid w:val="00D30AE3"/>
    <w:rsid w:val="00D30CC3"/>
    <w:rsid w:val="00D31348"/>
    <w:rsid w:val="00D31B30"/>
    <w:rsid w:val="00D320A7"/>
    <w:rsid w:val="00D322A8"/>
    <w:rsid w:val="00D32335"/>
    <w:rsid w:val="00D323E3"/>
    <w:rsid w:val="00D32EC9"/>
    <w:rsid w:val="00D33E32"/>
    <w:rsid w:val="00D33F2E"/>
    <w:rsid w:val="00D33FD9"/>
    <w:rsid w:val="00D3457C"/>
    <w:rsid w:val="00D357F0"/>
    <w:rsid w:val="00D4013D"/>
    <w:rsid w:val="00D40BD4"/>
    <w:rsid w:val="00D414F9"/>
    <w:rsid w:val="00D41502"/>
    <w:rsid w:val="00D416E5"/>
    <w:rsid w:val="00D42621"/>
    <w:rsid w:val="00D428B3"/>
    <w:rsid w:val="00D42F9F"/>
    <w:rsid w:val="00D444D8"/>
    <w:rsid w:val="00D45926"/>
    <w:rsid w:val="00D45F89"/>
    <w:rsid w:val="00D460B0"/>
    <w:rsid w:val="00D46CC6"/>
    <w:rsid w:val="00D47128"/>
    <w:rsid w:val="00D471FE"/>
    <w:rsid w:val="00D475F5"/>
    <w:rsid w:val="00D47AEE"/>
    <w:rsid w:val="00D501B5"/>
    <w:rsid w:val="00D51612"/>
    <w:rsid w:val="00D51650"/>
    <w:rsid w:val="00D5297C"/>
    <w:rsid w:val="00D52BB2"/>
    <w:rsid w:val="00D52D4F"/>
    <w:rsid w:val="00D53095"/>
    <w:rsid w:val="00D53C35"/>
    <w:rsid w:val="00D53DE4"/>
    <w:rsid w:val="00D54644"/>
    <w:rsid w:val="00D54A94"/>
    <w:rsid w:val="00D557D5"/>
    <w:rsid w:val="00D55873"/>
    <w:rsid w:val="00D5682E"/>
    <w:rsid w:val="00D570DF"/>
    <w:rsid w:val="00D572F6"/>
    <w:rsid w:val="00D575D5"/>
    <w:rsid w:val="00D57DBA"/>
    <w:rsid w:val="00D57F9C"/>
    <w:rsid w:val="00D6180D"/>
    <w:rsid w:val="00D61E9C"/>
    <w:rsid w:val="00D622EA"/>
    <w:rsid w:val="00D62905"/>
    <w:rsid w:val="00D62B37"/>
    <w:rsid w:val="00D63C22"/>
    <w:rsid w:val="00D65CC4"/>
    <w:rsid w:val="00D667A9"/>
    <w:rsid w:val="00D6706B"/>
    <w:rsid w:val="00D703C9"/>
    <w:rsid w:val="00D71700"/>
    <w:rsid w:val="00D71795"/>
    <w:rsid w:val="00D71AA0"/>
    <w:rsid w:val="00D73642"/>
    <w:rsid w:val="00D7435E"/>
    <w:rsid w:val="00D74E6C"/>
    <w:rsid w:val="00D7505B"/>
    <w:rsid w:val="00D77234"/>
    <w:rsid w:val="00D77244"/>
    <w:rsid w:val="00D77ACA"/>
    <w:rsid w:val="00D8179C"/>
    <w:rsid w:val="00D821C3"/>
    <w:rsid w:val="00D82E25"/>
    <w:rsid w:val="00D854EB"/>
    <w:rsid w:val="00D85703"/>
    <w:rsid w:val="00D85DE1"/>
    <w:rsid w:val="00D86E06"/>
    <w:rsid w:val="00D87888"/>
    <w:rsid w:val="00D87A1C"/>
    <w:rsid w:val="00D905B9"/>
    <w:rsid w:val="00D9081A"/>
    <w:rsid w:val="00D919BB"/>
    <w:rsid w:val="00D91E97"/>
    <w:rsid w:val="00D92A94"/>
    <w:rsid w:val="00D92E1E"/>
    <w:rsid w:val="00D936C1"/>
    <w:rsid w:val="00D939C3"/>
    <w:rsid w:val="00D942A2"/>
    <w:rsid w:val="00D950A8"/>
    <w:rsid w:val="00D95F01"/>
    <w:rsid w:val="00D95FBF"/>
    <w:rsid w:val="00D96A8B"/>
    <w:rsid w:val="00D97119"/>
    <w:rsid w:val="00D972A1"/>
    <w:rsid w:val="00D9787D"/>
    <w:rsid w:val="00D97A9C"/>
    <w:rsid w:val="00DA0A33"/>
    <w:rsid w:val="00DA149E"/>
    <w:rsid w:val="00DA2F51"/>
    <w:rsid w:val="00DA37D6"/>
    <w:rsid w:val="00DA3979"/>
    <w:rsid w:val="00DA4D43"/>
    <w:rsid w:val="00DA5433"/>
    <w:rsid w:val="00DA6058"/>
    <w:rsid w:val="00DA6516"/>
    <w:rsid w:val="00DA70D3"/>
    <w:rsid w:val="00DA7510"/>
    <w:rsid w:val="00DA789D"/>
    <w:rsid w:val="00DB084C"/>
    <w:rsid w:val="00DB0B3F"/>
    <w:rsid w:val="00DB0FDB"/>
    <w:rsid w:val="00DB16BD"/>
    <w:rsid w:val="00DB1755"/>
    <w:rsid w:val="00DB1973"/>
    <w:rsid w:val="00DB1E5D"/>
    <w:rsid w:val="00DB275A"/>
    <w:rsid w:val="00DB29C8"/>
    <w:rsid w:val="00DB39E4"/>
    <w:rsid w:val="00DB3A52"/>
    <w:rsid w:val="00DB3C39"/>
    <w:rsid w:val="00DB414A"/>
    <w:rsid w:val="00DB42B4"/>
    <w:rsid w:val="00DB4B6D"/>
    <w:rsid w:val="00DB500B"/>
    <w:rsid w:val="00DB5BC2"/>
    <w:rsid w:val="00DB621A"/>
    <w:rsid w:val="00DB65D3"/>
    <w:rsid w:val="00DB6AE4"/>
    <w:rsid w:val="00DB6DEA"/>
    <w:rsid w:val="00DB6E10"/>
    <w:rsid w:val="00DB72C5"/>
    <w:rsid w:val="00DB7B97"/>
    <w:rsid w:val="00DB7ED0"/>
    <w:rsid w:val="00DC0162"/>
    <w:rsid w:val="00DC033E"/>
    <w:rsid w:val="00DC0881"/>
    <w:rsid w:val="00DC0A01"/>
    <w:rsid w:val="00DC0A6E"/>
    <w:rsid w:val="00DC0ADC"/>
    <w:rsid w:val="00DC0CA5"/>
    <w:rsid w:val="00DC0FE9"/>
    <w:rsid w:val="00DC17A7"/>
    <w:rsid w:val="00DC2231"/>
    <w:rsid w:val="00DC2509"/>
    <w:rsid w:val="00DC2669"/>
    <w:rsid w:val="00DC27A4"/>
    <w:rsid w:val="00DC3889"/>
    <w:rsid w:val="00DC394D"/>
    <w:rsid w:val="00DC47E0"/>
    <w:rsid w:val="00DC6F86"/>
    <w:rsid w:val="00DC72F3"/>
    <w:rsid w:val="00DC770F"/>
    <w:rsid w:val="00DD088D"/>
    <w:rsid w:val="00DD10D1"/>
    <w:rsid w:val="00DD1BBC"/>
    <w:rsid w:val="00DD1F0A"/>
    <w:rsid w:val="00DD2D2D"/>
    <w:rsid w:val="00DD33DD"/>
    <w:rsid w:val="00DD349F"/>
    <w:rsid w:val="00DD3798"/>
    <w:rsid w:val="00DD3954"/>
    <w:rsid w:val="00DD3B58"/>
    <w:rsid w:val="00DD3E1B"/>
    <w:rsid w:val="00DD44FD"/>
    <w:rsid w:val="00DD4D46"/>
    <w:rsid w:val="00DD57F7"/>
    <w:rsid w:val="00DD5B8C"/>
    <w:rsid w:val="00DD63C5"/>
    <w:rsid w:val="00DD70C3"/>
    <w:rsid w:val="00DE0230"/>
    <w:rsid w:val="00DE06B5"/>
    <w:rsid w:val="00DE29A8"/>
    <w:rsid w:val="00DE2A98"/>
    <w:rsid w:val="00DE4242"/>
    <w:rsid w:val="00DE447D"/>
    <w:rsid w:val="00DE4E31"/>
    <w:rsid w:val="00DE52C1"/>
    <w:rsid w:val="00DE564D"/>
    <w:rsid w:val="00DE58A1"/>
    <w:rsid w:val="00DE5B89"/>
    <w:rsid w:val="00DE5C48"/>
    <w:rsid w:val="00DE5EBC"/>
    <w:rsid w:val="00DE6653"/>
    <w:rsid w:val="00DE7A9A"/>
    <w:rsid w:val="00DE7BCF"/>
    <w:rsid w:val="00DF0829"/>
    <w:rsid w:val="00DF12C3"/>
    <w:rsid w:val="00DF166D"/>
    <w:rsid w:val="00DF1983"/>
    <w:rsid w:val="00DF2109"/>
    <w:rsid w:val="00DF34CC"/>
    <w:rsid w:val="00DF4A75"/>
    <w:rsid w:val="00DF4C05"/>
    <w:rsid w:val="00DF528F"/>
    <w:rsid w:val="00DF5317"/>
    <w:rsid w:val="00DF586A"/>
    <w:rsid w:val="00DF5F9C"/>
    <w:rsid w:val="00DF64F5"/>
    <w:rsid w:val="00DF6A35"/>
    <w:rsid w:val="00E00537"/>
    <w:rsid w:val="00E008AC"/>
    <w:rsid w:val="00E0144A"/>
    <w:rsid w:val="00E02743"/>
    <w:rsid w:val="00E0369D"/>
    <w:rsid w:val="00E038E5"/>
    <w:rsid w:val="00E03BF3"/>
    <w:rsid w:val="00E03C79"/>
    <w:rsid w:val="00E040A0"/>
    <w:rsid w:val="00E04396"/>
    <w:rsid w:val="00E0443A"/>
    <w:rsid w:val="00E04591"/>
    <w:rsid w:val="00E048D6"/>
    <w:rsid w:val="00E05A7B"/>
    <w:rsid w:val="00E05FB1"/>
    <w:rsid w:val="00E06541"/>
    <w:rsid w:val="00E06A19"/>
    <w:rsid w:val="00E07BE4"/>
    <w:rsid w:val="00E07E5E"/>
    <w:rsid w:val="00E07F05"/>
    <w:rsid w:val="00E100BA"/>
    <w:rsid w:val="00E10EBA"/>
    <w:rsid w:val="00E1196A"/>
    <w:rsid w:val="00E11AFD"/>
    <w:rsid w:val="00E12B6C"/>
    <w:rsid w:val="00E12CDB"/>
    <w:rsid w:val="00E1301F"/>
    <w:rsid w:val="00E13327"/>
    <w:rsid w:val="00E13629"/>
    <w:rsid w:val="00E1432B"/>
    <w:rsid w:val="00E14AEF"/>
    <w:rsid w:val="00E14D47"/>
    <w:rsid w:val="00E14D64"/>
    <w:rsid w:val="00E152CE"/>
    <w:rsid w:val="00E15E98"/>
    <w:rsid w:val="00E16139"/>
    <w:rsid w:val="00E16949"/>
    <w:rsid w:val="00E16F8B"/>
    <w:rsid w:val="00E1709E"/>
    <w:rsid w:val="00E17577"/>
    <w:rsid w:val="00E17E15"/>
    <w:rsid w:val="00E2089E"/>
    <w:rsid w:val="00E20BDD"/>
    <w:rsid w:val="00E20C15"/>
    <w:rsid w:val="00E20F60"/>
    <w:rsid w:val="00E213B2"/>
    <w:rsid w:val="00E225FE"/>
    <w:rsid w:val="00E22D2E"/>
    <w:rsid w:val="00E232A5"/>
    <w:rsid w:val="00E23412"/>
    <w:rsid w:val="00E23BAB"/>
    <w:rsid w:val="00E23BC3"/>
    <w:rsid w:val="00E23C4E"/>
    <w:rsid w:val="00E25269"/>
    <w:rsid w:val="00E254FB"/>
    <w:rsid w:val="00E264C4"/>
    <w:rsid w:val="00E264CD"/>
    <w:rsid w:val="00E26A23"/>
    <w:rsid w:val="00E26CAE"/>
    <w:rsid w:val="00E26D26"/>
    <w:rsid w:val="00E2761E"/>
    <w:rsid w:val="00E27EED"/>
    <w:rsid w:val="00E310F6"/>
    <w:rsid w:val="00E31547"/>
    <w:rsid w:val="00E315E5"/>
    <w:rsid w:val="00E3196E"/>
    <w:rsid w:val="00E31EEF"/>
    <w:rsid w:val="00E3224E"/>
    <w:rsid w:val="00E330BA"/>
    <w:rsid w:val="00E33364"/>
    <w:rsid w:val="00E33B5A"/>
    <w:rsid w:val="00E33D31"/>
    <w:rsid w:val="00E346FF"/>
    <w:rsid w:val="00E347D8"/>
    <w:rsid w:val="00E34AD5"/>
    <w:rsid w:val="00E34C3B"/>
    <w:rsid w:val="00E350D9"/>
    <w:rsid w:val="00E35852"/>
    <w:rsid w:val="00E36300"/>
    <w:rsid w:val="00E36BE5"/>
    <w:rsid w:val="00E3710E"/>
    <w:rsid w:val="00E372EA"/>
    <w:rsid w:val="00E376A8"/>
    <w:rsid w:val="00E37FEB"/>
    <w:rsid w:val="00E40BDB"/>
    <w:rsid w:val="00E40CCF"/>
    <w:rsid w:val="00E43641"/>
    <w:rsid w:val="00E44308"/>
    <w:rsid w:val="00E44381"/>
    <w:rsid w:val="00E445B6"/>
    <w:rsid w:val="00E44668"/>
    <w:rsid w:val="00E44A16"/>
    <w:rsid w:val="00E4575A"/>
    <w:rsid w:val="00E4622E"/>
    <w:rsid w:val="00E463C9"/>
    <w:rsid w:val="00E464B7"/>
    <w:rsid w:val="00E467FD"/>
    <w:rsid w:val="00E47A43"/>
    <w:rsid w:val="00E47C25"/>
    <w:rsid w:val="00E47D8D"/>
    <w:rsid w:val="00E513BC"/>
    <w:rsid w:val="00E51E46"/>
    <w:rsid w:val="00E51F62"/>
    <w:rsid w:val="00E52C34"/>
    <w:rsid w:val="00E52E9A"/>
    <w:rsid w:val="00E52EE2"/>
    <w:rsid w:val="00E53B63"/>
    <w:rsid w:val="00E53C42"/>
    <w:rsid w:val="00E5475A"/>
    <w:rsid w:val="00E56A1B"/>
    <w:rsid w:val="00E56B25"/>
    <w:rsid w:val="00E573AD"/>
    <w:rsid w:val="00E57E3C"/>
    <w:rsid w:val="00E60467"/>
    <w:rsid w:val="00E609F0"/>
    <w:rsid w:val="00E6120C"/>
    <w:rsid w:val="00E61F1A"/>
    <w:rsid w:val="00E62418"/>
    <w:rsid w:val="00E62BF6"/>
    <w:rsid w:val="00E63229"/>
    <w:rsid w:val="00E64D84"/>
    <w:rsid w:val="00E64F98"/>
    <w:rsid w:val="00E650B8"/>
    <w:rsid w:val="00E65113"/>
    <w:rsid w:val="00E66FEA"/>
    <w:rsid w:val="00E67727"/>
    <w:rsid w:val="00E67A4E"/>
    <w:rsid w:val="00E67E54"/>
    <w:rsid w:val="00E70CBF"/>
    <w:rsid w:val="00E70F9D"/>
    <w:rsid w:val="00E71014"/>
    <w:rsid w:val="00E721D2"/>
    <w:rsid w:val="00E72BF3"/>
    <w:rsid w:val="00E72FAC"/>
    <w:rsid w:val="00E733B6"/>
    <w:rsid w:val="00E73995"/>
    <w:rsid w:val="00E73A3F"/>
    <w:rsid w:val="00E75145"/>
    <w:rsid w:val="00E75914"/>
    <w:rsid w:val="00E76324"/>
    <w:rsid w:val="00E763D3"/>
    <w:rsid w:val="00E77B23"/>
    <w:rsid w:val="00E77E1E"/>
    <w:rsid w:val="00E80602"/>
    <w:rsid w:val="00E8147F"/>
    <w:rsid w:val="00E82095"/>
    <w:rsid w:val="00E82459"/>
    <w:rsid w:val="00E832EC"/>
    <w:rsid w:val="00E83742"/>
    <w:rsid w:val="00E83930"/>
    <w:rsid w:val="00E842FC"/>
    <w:rsid w:val="00E84F18"/>
    <w:rsid w:val="00E85D5B"/>
    <w:rsid w:val="00E8631F"/>
    <w:rsid w:val="00E87EF2"/>
    <w:rsid w:val="00E90194"/>
    <w:rsid w:val="00E90724"/>
    <w:rsid w:val="00E91439"/>
    <w:rsid w:val="00E91598"/>
    <w:rsid w:val="00E92797"/>
    <w:rsid w:val="00E92B15"/>
    <w:rsid w:val="00E92DFA"/>
    <w:rsid w:val="00E92F63"/>
    <w:rsid w:val="00E9356B"/>
    <w:rsid w:val="00E9382B"/>
    <w:rsid w:val="00E93BE8"/>
    <w:rsid w:val="00E93E03"/>
    <w:rsid w:val="00E94152"/>
    <w:rsid w:val="00E94417"/>
    <w:rsid w:val="00E95E98"/>
    <w:rsid w:val="00E963ED"/>
    <w:rsid w:val="00E96558"/>
    <w:rsid w:val="00E97FF1"/>
    <w:rsid w:val="00EA02EF"/>
    <w:rsid w:val="00EA076F"/>
    <w:rsid w:val="00EA114D"/>
    <w:rsid w:val="00EA2F5E"/>
    <w:rsid w:val="00EA3251"/>
    <w:rsid w:val="00EA33C4"/>
    <w:rsid w:val="00EA352E"/>
    <w:rsid w:val="00EA524B"/>
    <w:rsid w:val="00EA61A3"/>
    <w:rsid w:val="00EA71C4"/>
    <w:rsid w:val="00EA744F"/>
    <w:rsid w:val="00EA7714"/>
    <w:rsid w:val="00EA780E"/>
    <w:rsid w:val="00EA787F"/>
    <w:rsid w:val="00EA7901"/>
    <w:rsid w:val="00EA7EC8"/>
    <w:rsid w:val="00EB065C"/>
    <w:rsid w:val="00EB0D00"/>
    <w:rsid w:val="00EB267E"/>
    <w:rsid w:val="00EB2F46"/>
    <w:rsid w:val="00EB3173"/>
    <w:rsid w:val="00EB5D91"/>
    <w:rsid w:val="00EB6212"/>
    <w:rsid w:val="00EB6C4B"/>
    <w:rsid w:val="00EB72AD"/>
    <w:rsid w:val="00EB7DEB"/>
    <w:rsid w:val="00EC0049"/>
    <w:rsid w:val="00EC0B39"/>
    <w:rsid w:val="00EC1322"/>
    <w:rsid w:val="00EC2C0B"/>
    <w:rsid w:val="00EC2DC5"/>
    <w:rsid w:val="00EC344C"/>
    <w:rsid w:val="00EC3670"/>
    <w:rsid w:val="00EC416A"/>
    <w:rsid w:val="00EC570D"/>
    <w:rsid w:val="00EC5BF9"/>
    <w:rsid w:val="00EC5DCD"/>
    <w:rsid w:val="00EC6439"/>
    <w:rsid w:val="00EC7A09"/>
    <w:rsid w:val="00ED0B37"/>
    <w:rsid w:val="00ED0F7A"/>
    <w:rsid w:val="00ED1010"/>
    <w:rsid w:val="00ED1DA7"/>
    <w:rsid w:val="00ED39B2"/>
    <w:rsid w:val="00ED3AA9"/>
    <w:rsid w:val="00ED42AA"/>
    <w:rsid w:val="00ED4A2F"/>
    <w:rsid w:val="00ED55EE"/>
    <w:rsid w:val="00ED5F7C"/>
    <w:rsid w:val="00ED6FDB"/>
    <w:rsid w:val="00ED778B"/>
    <w:rsid w:val="00ED7DCE"/>
    <w:rsid w:val="00EE03E2"/>
    <w:rsid w:val="00EE063E"/>
    <w:rsid w:val="00EE2520"/>
    <w:rsid w:val="00EE2B6D"/>
    <w:rsid w:val="00EE3397"/>
    <w:rsid w:val="00EE33BB"/>
    <w:rsid w:val="00EE3719"/>
    <w:rsid w:val="00EE4484"/>
    <w:rsid w:val="00EE4EC9"/>
    <w:rsid w:val="00EE5754"/>
    <w:rsid w:val="00EE5C94"/>
    <w:rsid w:val="00EE6C40"/>
    <w:rsid w:val="00EE7286"/>
    <w:rsid w:val="00EE7A41"/>
    <w:rsid w:val="00EF1977"/>
    <w:rsid w:val="00EF1DF7"/>
    <w:rsid w:val="00EF1E19"/>
    <w:rsid w:val="00EF2B9D"/>
    <w:rsid w:val="00EF2E05"/>
    <w:rsid w:val="00EF2FC6"/>
    <w:rsid w:val="00EF3593"/>
    <w:rsid w:val="00EF36B2"/>
    <w:rsid w:val="00EF3821"/>
    <w:rsid w:val="00EF3E9A"/>
    <w:rsid w:val="00EF43D7"/>
    <w:rsid w:val="00EF6FF1"/>
    <w:rsid w:val="00EF712B"/>
    <w:rsid w:val="00EF73F6"/>
    <w:rsid w:val="00F0031D"/>
    <w:rsid w:val="00F009AC"/>
    <w:rsid w:val="00F00F55"/>
    <w:rsid w:val="00F018E6"/>
    <w:rsid w:val="00F01CED"/>
    <w:rsid w:val="00F01E12"/>
    <w:rsid w:val="00F02BDC"/>
    <w:rsid w:val="00F02EA0"/>
    <w:rsid w:val="00F040EE"/>
    <w:rsid w:val="00F0414E"/>
    <w:rsid w:val="00F04985"/>
    <w:rsid w:val="00F04AEA"/>
    <w:rsid w:val="00F04C1E"/>
    <w:rsid w:val="00F04E63"/>
    <w:rsid w:val="00F06603"/>
    <w:rsid w:val="00F0662D"/>
    <w:rsid w:val="00F06ECB"/>
    <w:rsid w:val="00F07F96"/>
    <w:rsid w:val="00F1027D"/>
    <w:rsid w:val="00F10529"/>
    <w:rsid w:val="00F10653"/>
    <w:rsid w:val="00F10805"/>
    <w:rsid w:val="00F10BCE"/>
    <w:rsid w:val="00F1187D"/>
    <w:rsid w:val="00F12094"/>
    <w:rsid w:val="00F12C32"/>
    <w:rsid w:val="00F135DE"/>
    <w:rsid w:val="00F14352"/>
    <w:rsid w:val="00F14B4B"/>
    <w:rsid w:val="00F15BB4"/>
    <w:rsid w:val="00F16456"/>
    <w:rsid w:val="00F17E69"/>
    <w:rsid w:val="00F20FA2"/>
    <w:rsid w:val="00F21564"/>
    <w:rsid w:val="00F22138"/>
    <w:rsid w:val="00F22254"/>
    <w:rsid w:val="00F224E9"/>
    <w:rsid w:val="00F226E6"/>
    <w:rsid w:val="00F229A1"/>
    <w:rsid w:val="00F22F90"/>
    <w:rsid w:val="00F22FD1"/>
    <w:rsid w:val="00F2317F"/>
    <w:rsid w:val="00F2344D"/>
    <w:rsid w:val="00F23592"/>
    <w:rsid w:val="00F236DF"/>
    <w:rsid w:val="00F241FA"/>
    <w:rsid w:val="00F24378"/>
    <w:rsid w:val="00F24DBD"/>
    <w:rsid w:val="00F2597C"/>
    <w:rsid w:val="00F25A41"/>
    <w:rsid w:val="00F25DBB"/>
    <w:rsid w:val="00F26056"/>
    <w:rsid w:val="00F26988"/>
    <w:rsid w:val="00F26A52"/>
    <w:rsid w:val="00F26C94"/>
    <w:rsid w:val="00F3012C"/>
    <w:rsid w:val="00F302E9"/>
    <w:rsid w:val="00F306B2"/>
    <w:rsid w:val="00F32478"/>
    <w:rsid w:val="00F33325"/>
    <w:rsid w:val="00F33AAF"/>
    <w:rsid w:val="00F349EB"/>
    <w:rsid w:val="00F35158"/>
    <w:rsid w:val="00F35BDF"/>
    <w:rsid w:val="00F35C22"/>
    <w:rsid w:val="00F36AAE"/>
    <w:rsid w:val="00F3731D"/>
    <w:rsid w:val="00F40670"/>
    <w:rsid w:val="00F40BF5"/>
    <w:rsid w:val="00F40CD4"/>
    <w:rsid w:val="00F40E81"/>
    <w:rsid w:val="00F410EF"/>
    <w:rsid w:val="00F41710"/>
    <w:rsid w:val="00F41BD0"/>
    <w:rsid w:val="00F422CC"/>
    <w:rsid w:val="00F4273F"/>
    <w:rsid w:val="00F42F89"/>
    <w:rsid w:val="00F43042"/>
    <w:rsid w:val="00F433E4"/>
    <w:rsid w:val="00F441DB"/>
    <w:rsid w:val="00F456AB"/>
    <w:rsid w:val="00F4662B"/>
    <w:rsid w:val="00F46B46"/>
    <w:rsid w:val="00F47341"/>
    <w:rsid w:val="00F47694"/>
    <w:rsid w:val="00F5059C"/>
    <w:rsid w:val="00F50769"/>
    <w:rsid w:val="00F512F0"/>
    <w:rsid w:val="00F522C5"/>
    <w:rsid w:val="00F526E1"/>
    <w:rsid w:val="00F528CE"/>
    <w:rsid w:val="00F53478"/>
    <w:rsid w:val="00F542CF"/>
    <w:rsid w:val="00F547FA"/>
    <w:rsid w:val="00F54990"/>
    <w:rsid w:val="00F54BF3"/>
    <w:rsid w:val="00F54CA1"/>
    <w:rsid w:val="00F5513C"/>
    <w:rsid w:val="00F55CF4"/>
    <w:rsid w:val="00F56AD7"/>
    <w:rsid w:val="00F576FD"/>
    <w:rsid w:val="00F60032"/>
    <w:rsid w:val="00F606CC"/>
    <w:rsid w:val="00F60C78"/>
    <w:rsid w:val="00F60D3B"/>
    <w:rsid w:val="00F60EF0"/>
    <w:rsid w:val="00F616DC"/>
    <w:rsid w:val="00F61B90"/>
    <w:rsid w:val="00F61C10"/>
    <w:rsid w:val="00F61E6D"/>
    <w:rsid w:val="00F62029"/>
    <w:rsid w:val="00F6288D"/>
    <w:rsid w:val="00F630AC"/>
    <w:rsid w:val="00F633F0"/>
    <w:rsid w:val="00F6379D"/>
    <w:rsid w:val="00F63C4F"/>
    <w:rsid w:val="00F64175"/>
    <w:rsid w:val="00F6419B"/>
    <w:rsid w:val="00F64274"/>
    <w:rsid w:val="00F64461"/>
    <w:rsid w:val="00F64978"/>
    <w:rsid w:val="00F658E9"/>
    <w:rsid w:val="00F65E91"/>
    <w:rsid w:val="00F6647B"/>
    <w:rsid w:val="00F664A7"/>
    <w:rsid w:val="00F66A8F"/>
    <w:rsid w:val="00F66CB2"/>
    <w:rsid w:val="00F67222"/>
    <w:rsid w:val="00F6745D"/>
    <w:rsid w:val="00F67587"/>
    <w:rsid w:val="00F67618"/>
    <w:rsid w:val="00F72C29"/>
    <w:rsid w:val="00F730E8"/>
    <w:rsid w:val="00F731ED"/>
    <w:rsid w:val="00F73790"/>
    <w:rsid w:val="00F74AC1"/>
    <w:rsid w:val="00F74F9F"/>
    <w:rsid w:val="00F75822"/>
    <w:rsid w:val="00F758EE"/>
    <w:rsid w:val="00F76135"/>
    <w:rsid w:val="00F77FDB"/>
    <w:rsid w:val="00F801F9"/>
    <w:rsid w:val="00F82CAC"/>
    <w:rsid w:val="00F83A15"/>
    <w:rsid w:val="00F8474A"/>
    <w:rsid w:val="00F847AB"/>
    <w:rsid w:val="00F850E0"/>
    <w:rsid w:val="00F85108"/>
    <w:rsid w:val="00F85337"/>
    <w:rsid w:val="00F85FA8"/>
    <w:rsid w:val="00F8623F"/>
    <w:rsid w:val="00F863E3"/>
    <w:rsid w:val="00F86778"/>
    <w:rsid w:val="00F87342"/>
    <w:rsid w:val="00F87B3F"/>
    <w:rsid w:val="00F90CAF"/>
    <w:rsid w:val="00F910F0"/>
    <w:rsid w:val="00F915ED"/>
    <w:rsid w:val="00F91E22"/>
    <w:rsid w:val="00F91F1D"/>
    <w:rsid w:val="00F927F5"/>
    <w:rsid w:val="00F93469"/>
    <w:rsid w:val="00F9374B"/>
    <w:rsid w:val="00F939E7"/>
    <w:rsid w:val="00F93C1B"/>
    <w:rsid w:val="00F94095"/>
    <w:rsid w:val="00F943F3"/>
    <w:rsid w:val="00F945D4"/>
    <w:rsid w:val="00F94BC5"/>
    <w:rsid w:val="00F958B1"/>
    <w:rsid w:val="00F95C7F"/>
    <w:rsid w:val="00F96538"/>
    <w:rsid w:val="00F9694D"/>
    <w:rsid w:val="00F96986"/>
    <w:rsid w:val="00F96A80"/>
    <w:rsid w:val="00F977E8"/>
    <w:rsid w:val="00FA0054"/>
    <w:rsid w:val="00FA0095"/>
    <w:rsid w:val="00FA04B9"/>
    <w:rsid w:val="00FA1B45"/>
    <w:rsid w:val="00FA1BB7"/>
    <w:rsid w:val="00FA212D"/>
    <w:rsid w:val="00FA25FE"/>
    <w:rsid w:val="00FA307E"/>
    <w:rsid w:val="00FA34A1"/>
    <w:rsid w:val="00FA3BD3"/>
    <w:rsid w:val="00FA3D67"/>
    <w:rsid w:val="00FA4F6D"/>
    <w:rsid w:val="00FA509C"/>
    <w:rsid w:val="00FA51AF"/>
    <w:rsid w:val="00FA53EA"/>
    <w:rsid w:val="00FA54E8"/>
    <w:rsid w:val="00FA5711"/>
    <w:rsid w:val="00FA58D6"/>
    <w:rsid w:val="00FA6560"/>
    <w:rsid w:val="00FA6952"/>
    <w:rsid w:val="00FA6CE8"/>
    <w:rsid w:val="00FA6F99"/>
    <w:rsid w:val="00FA70ED"/>
    <w:rsid w:val="00FA7952"/>
    <w:rsid w:val="00FB0094"/>
    <w:rsid w:val="00FB0203"/>
    <w:rsid w:val="00FB047E"/>
    <w:rsid w:val="00FB054D"/>
    <w:rsid w:val="00FB06B7"/>
    <w:rsid w:val="00FB0B8D"/>
    <w:rsid w:val="00FB14E0"/>
    <w:rsid w:val="00FB210C"/>
    <w:rsid w:val="00FB34CB"/>
    <w:rsid w:val="00FB3BF0"/>
    <w:rsid w:val="00FB411A"/>
    <w:rsid w:val="00FB4730"/>
    <w:rsid w:val="00FB5778"/>
    <w:rsid w:val="00FB593D"/>
    <w:rsid w:val="00FB6513"/>
    <w:rsid w:val="00FB665F"/>
    <w:rsid w:val="00FB695F"/>
    <w:rsid w:val="00FB6D2E"/>
    <w:rsid w:val="00FB7455"/>
    <w:rsid w:val="00FB7995"/>
    <w:rsid w:val="00FC063C"/>
    <w:rsid w:val="00FC1508"/>
    <w:rsid w:val="00FC1DC6"/>
    <w:rsid w:val="00FC268F"/>
    <w:rsid w:val="00FC363E"/>
    <w:rsid w:val="00FC3AB3"/>
    <w:rsid w:val="00FC449E"/>
    <w:rsid w:val="00FC478E"/>
    <w:rsid w:val="00FC4DA9"/>
    <w:rsid w:val="00FC5353"/>
    <w:rsid w:val="00FC5457"/>
    <w:rsid w:val="00FC5EA1"/>
    <w:rsid w:val="00FC6140"/>
    <w:rsid w:val="00FC7142"/>
    <w:rsid w:val="00FC77B0"/>
    <w:rsid w:val="00FC78DC"/>
    <w:rsid w:val="00FC7B5C"/>
    <w:rsid w:val="00FD0166"/>
    <w:rsid w:val="00FD0743"/>
    <w:rsid w:val="00FD184A"/>
    <w:rsid w:val="00FD219B"/>
    <w:rsid w:val="00FD2745"/>
    <w:rsid w:val="00FD2A66"/>
    <w:rsid w:val="00FD2E47"/>
    <w:rsid w:val="00FD40A9"/>
    <w:rsid w:val="00FD5D05"/>
    <w:rsid w:val="00FD74B8"/>
    <w:rsid w:val="00FD7E0E"/>
    <w:rsid w:val="00FE088F"/>
    <w:rsid w:val="00FE13ED"/>
    <w:rsid w:val="00FE179F"/>
    <w:rsid w:val="00FE1D4C"/>
    <w:rsid w:val="00FE208A"/>
    <w:rsid w:val="00FE2AB0"/>
    <w:rsid w:val="00FE330E"/>
    <w:rsid w:val="00FE366E"/>
    <w:rsid w:val="00FE4000"/>
    <w:rsid w:val="00FE4621"/>
    <w:rsid w:val="00FE4E9D"/>
    <w:rsid w:val="00FE5232"/>
    <w:rsid w:val="00FE54D9"/>
    <w:rsid w:val="00FE54F6"/>
    <w:rsid w:val="00FE6D81"/>
    <w:rsid w:val="00FE7B1F"/>
    <w:rsid w:val="00FF0740"/>
    <w:rsid w:val="00FF0812"/>
    <w:rsid w:val="00FF090C"/>
    <w:rsid w:val="00FF0EAE"/>
    <w:rsid w:val="00FF14EA"/>
    <w:rsid w:val="00FF1EC8"/>
    <w:rsid w:val="00FF2999"/>
    <w:rsid w:val="00FF2B34"/>
    <w:rsid w:val="00FF2BBD"/>
    <w:rsid w:val="00FF37C1"/>
    <w:rsid w:val="00FF37C6"/>
    <w:rsid w:val="00FF3808"/>
    <w:rsid w:val="00FF39C0"/>
    <w:rsid w:val="00FF3A22"/>
    <w:rsid w:val="00FF4124"/>
    <w:rsid w:val="00FF44C3"/>
    <w:rsid w:val="00FF44F8"/>
    <w:rsid w:val="00FF47F9"/>
    <w:rsid w:val="00FF4F7C"/>
    <w:rsid w:val="00FF5542"/>
    <w:rsid w:val="00FF559F"/>
    <w:rsid w:val="00FF59E3"/>
    <w:rsid w:val="00FF62B7"/>
    <w:rsid w:val="00FF7A5F"/>
    <w:rsid w:val="01506A74"/>
    <w:rsid w:val="015D43A1"/>
    <w:rsid w:val="017A6B77"/>
    <w:rsid w:val="01C53E9C"/>
    <w:rsid w:val="01E95A6C"/>
    <w:rsid w:val="028444CD"/>
    <w:rsid w:val="02C2534B"/>
    <w:rsid w:val="032128C3"/>
    <w:rsid w:val="03A22FFC"/>
    <w:rsid w:val="03C12DCD"/>
    <w:rsid w:val="03DB766E"/>
    <w:rsid w:val="04DF5103"/>
    <w:rsid w:val="04E1762A"/>
    <w:rsid w:val="05790259"/>
    <w:rsid w:val="05821257"/>
    <w:rsid w:val="058C4049"/>
    <w:rsid w:val="06837D53"/>
    <w:rsid w:val="06B3799E"/>
    <w:rsid w:val="07142CD0"/>
    <w:rsid w:val="074E4FCA"/>
    <w:rsid w:val="079F74E7"/>
    <w:rsid w:val="08975580"/>
    <w:rsid w:val="09067AC2"/>
    <w:rsid w:val="093E7A95"/>
    <w:rsid w:val="09B970EC"/>
    <w:rsid w:val="0A9B567F"/>
    <w:rsid w:val="0B08583F"/>
    <w:rsid w:val="0BA9304D"/>
    <w:rsid w:val="0BBA7AB3"/>
    <w:rsid w:val="0C1006E0"/>
    <w:rsid w:val="0C2F29ED"/>
    <w:rsid w:val="0C5A7F2B"/>
    <w:rsid w:val="0D172E7B"/>
    <w:rsid w:val="0D206ADC"/>
    <w:rsid w:val="0D57116F"/>
    <w:rsid w:val="0D730491"/>
    <w:rsid w:val="0E46447D"/>
    <w:rsid w:val="0F8B0C35"/>
    <w:rsid w:val="10E51529"/>
    <w:rsid w:val="11D8739B"/>
    <w:rsid w:val="12143A40"/>
    <w:rsid w:val="13D973C2"/>
    <w:rsid w:val="14125887"/>
    <w:rsid w:val="141D4441"/>
    <w:rsid w:val="144E5DDF"/>
    <w:rsid w:val="14A472DE"/>
    <w:rsid w:val="15144613"/>
    <w:rsid w:val="151E1269"/>
    <w:rsid w:val="15426C85"/>
    <w:rsid w:val="16804632"/>
    <w:rsid w:val="16940363"/>
    <w:rsid w:val="16D96445"/>
    <w:rsid w:val="1745310A"/>
    <w:rsid w:val="17B12D27"/>
    <w:rsid w:val="180C1D89"/>
    <w:rsid w:val="1870398A"/>
    <w:rsid w:val="18873EA7"/>
    <w:rsid w:val="18C16485"/>
    <w:rsid w:val="198D378D"/>
    <w:rsid w:val="1A590103"/>
    <w:rsid w:val="1B14028D"/>
    <w:rsid w:val="1C362F89"/>
    <w:rsid w:val="1C9F47E6"/>
    <w:rsid w:val="1CB4254B"/>
    <w:rsid w:val="1CD766EB"/>
    <w:rsid w:val="1CFF7659"/>
    <w:rsid w:val="1E0E4207"/>
    <w:rsid w:val="1E7F06B9"/>
    <w:rsid w:val="1E884F76"/>
    <w:rsid w:val="1F792C51"/>
    <w:rsid w:val="1F9A7BF1"/>
    <w:rsid w:val="1FB546BC"/>
    <w:rsid w:val="1FC1083C"/>
    <w:rsid w:val="201A3813"/>
    <w:rsid w:val="20532E6F"/>
    <w:rsid w:val="207E3474"/>
    <w:rsid w:val="2083110E"/>
    <w:rsid w:val="20B6437A"/>
    <w:rsid w:val="20FF1092"/>
    <w:rsid w:val="21333B63"/>
    <w:rsid w:val="21CF6EAC"/>
    <w:rsid w:val="22833F45"/>
    <w:rsid w:val="229131E4"/>
    <w:rsid w:val="231D447F"/>
    <w:rsid w:val="24BB2A89"/>
    <w:rsid w:val="24FE3411"/>
    <w:rsid w:val="250A44A9"/>
    <w:rsid w:val="26444945"/>
    <w:rsid w:val="26537A4A"/>
    <w:rsid w:val="2657132A"/>
    <w:rsid w:val="268811DB"/>
    <w:rsid w:val="26CF7739"/>
    <w:rsid w:val="276C147C"/>
    <w:rsid w:val="277A7A43"/>
    <w:rsid w:val="27873E4E"/>
    <w:rsid w:val="278B3260"/>
    <w:rsid w:val="27BB3FBE"/>
    <w:rsid w:val="27E8602A"/>
    <w:rsid w:val="288D7B89"/>
    <w:rsid w:val="28B35F4A"/>
    <w:rsid w:val="28D05F27"/>
    <w:rsid w:val="29D60947"/>
    <w:rsid w:val="2A0B4F4C"/>
    <w:rsid w:val="2A741B24"/>
    <w:rsid w:val="2ADF4A92"/>
    <w:rsid w:val="2B316E3A"/>
    <w:rsid w:val="2C1A05D9"/>
    <w:rsid w:val="2C226F36"/>
    <w:rsid w:val="2E361DCA"/>
    <w:rsid w:val="2E406BEC"/>
    <w:rsid w:val="2E7526BC"/>
    <w:rsid w:val="2E83212B"/>
    <w:rsid w:val="2E953036"/>
    <w:rsid w:val="2F491B5D"/>
    <w:rsid w:val="2FDC22D0"/>
    <w:rsid w:val="2FF13040"/>
    <w:rsid w:val="30444D13"/>
    <w:rsid w:val="307D49E3"/>
    <w:rsid w:val="30A466C8"/>
    <w:rsid w:val="33A947AD"/>
    <w:rsid w:val="33C944CB"/>
    <w:rsid w:val="33F95DAB"/>
    <w:rsid w:val="34CD27C2"/>
    <w:rsid w:val="35356E8B"/>
    <w:rsid w:val="35EB2DD6"/>
    <w:rsid w:val="363D7E52"/>
    <w:rsid w:val="366C2B7A"/>
    <w:rsid w:val="36895528"/>
    <w:rsid w:val="37996AA4"/>
    <w:rsid w:val="37A02B0F"/>
    <w:rsid w:val="37E45C15"/>
    <w:rsid w:val="382B49A0"/>
    <w:rsid w:val="38613375"/>
    <w:rsid w:val="38A40ECA"/>
    <w:rsid w:val="38BD3B53"/>
    <w:rsid w:val="3A085567"/>
    <w:rsid w:val="3A621EEC"/>
    <w:rsid w:val="3CCF2901"/>
    <w:rsid w:val="3CFE1F05"/>
    <w:rsid w:val="3D3448B5"/>
    <w:rsid w:val="3D4C1FD3"/>
    <w:rsid w:val="3D6249A1"/>
    <w:rsid w:val="3E2D5039"/>
    <w:rsid w:val="3E7C4048"/>
    <w:rsid w:val="3EDB27A7"/>
    <w:rsid w:val="3F0F79A3"/>
    <w:rsid w:val="3FBF3118"/>
    <w:rsid w:val="408B44A3"/>
    <w:rsid w:val="41F669B6"/>
    <w:rsid w:val="420122FB"/>
    <w:rsid w:val="42143884"/>
    <w:rsid w:val="42194B45"/>
    <w:rsid w:val="423975C1"/>
    <w:rsid w:val="423C06DD"/>
    <w:rsid w:val="42571514"/>
    <w:rsid w:val="42DD316C"/>
    <w:rsid w:val="43E07BD4"/>
    <w:rsid w:val="441C10DE"/>
    <w:rsid w:val="443C4754"/>
    <w:rsid w:val="44603CFA"/>
    <w:rsid w:val="44C24A7E"/>
    <w:rsid w:val="44F536EC"/>
    <w:rsid w:val="459427BB"/>
    <w:rsid w:val="462B36CF"/>
    <w:rsid w:val="47763062"/>
    <w:rsid w:val="485F2408"/>
    <w:rsid w:val="48841A45"/>
    <w:rsid w:val="48FF4813"/>
    <w:rsid w:val="4911355A"/>
    <w:rsid w:val="496366C7"/>
    <w:rsid w:val="49853305"/>
    <w:rsid w:val="4A9E221C"/>
    <w:rsid w:val="4AF55130"/>
    <w:rsid w:val="4B2F236F"/>
    <w:rsid w:val="4B4B11E1"/>
    <w:rsid w:val="4B6E09D0"/>
    <w:rsid w:val="4B885722"/>
    <w:rsid w:val="4BD7630A"/>
    <w:rsid w:val="4C0E1178"/>
    <w:rsid w:val="4DA941CD"/>
    <w:rsid w:val="4E141941"/>
    <w:rsid w:val="4EA840D2"/>
    <w:rsid w:val="4ECC324D"/>
    <w:rsid w:val="4FA240C2"/>
    <w:rsid w:val="4FD3447A"/>
    <w:rsid w:val="4FF3197B"/>
    <w:rsid w:val="50154C36"/>
    <w:rsid w:val="520E5057"/>
    <w:rsid w:val="525A5570"/>
    <w:rsid w:val="52F511F4"/>
    <w:rsid w:val="53761B3F"/>
    <w:rsid w:val="538C5F50"/>
    <w:rsid w:val="53D928F4"/>
    <w:rsid w:val="53F61B49"/>
    <w:rsid w:val="540344BB"/>
    <w:rsid w:val="54E81D95"/>
    <w:rsid w:val="55FD7E39"/>
    <w:rsid w:val="57032983"/>
    <w:rsid w:val="5741540F"/>
    <w:rsid w:val="57594ECB"/>
    <w:rsid w:val="591413EF"/>
    <w:rsid w:val="595B7E9D"/>
    <w:rsid w:val="598F6686"/>
    <w:rsid w:val="59E22AC0"/>
    <w:rsid w:val="59EE791A"/>
    <w:rsid w:val="5A495741"/>
    <w:rsid w:val="5AC95965"/>
    <w:rsid w:val="5B671838"/>
    <w:rsid w:val="5BDB57C6"/>
    <w:rsid w:val="5C091DCD"/>
    <w:rsid w:val="5CB965D9"/>
    <w:rsid w:val="5E4F0EF0"/>
    <w:rsid w:val="5EA1351D"/>
    <w:rsid w:val="5EC92D38"/>
    <w:rsid w:val="5EDC73F6"/>
    <w:rsid w:val="5F4E7EDA"/>
    <w:rsid w:val="5FD30092"/>
    <w:rsid w:val="604A33D1"/>
    <w:rsid w:val="608D6F3B"/>
    <w:rsid w:val="621F132D"/>
    <w:rsid w:val="622B6D0B"/>
    <w:rsid w:val="62595244"/>
    <w:rsid w:val="62692E19"/>
    <w:rsid w:val="629608F0"/>
    <w:rsid w:val="63665BD5"/>
    <w:rsid w:val="64BF4E6E"/>
    <w:rsid w:val="64C04ED5"/>
    <w:rsid w:val="65267BBD"/>
    <w:rsid w:val="657838F7"/>
    <w:rsid w:val="658971F4"/>
    <w:rsid w:val="65BF0105"/>
    <w:rsid w:val="65C42C3C"/>
    <w:rsid w:val="65D62E60"/>
    <w:rsid w:val="65D94029"/>
    <w:rsid w:val="66361DB7"/>
    <w:rsid w:val="671B1407"/>
    <w:rsid w:val="67C83468"/>
    <w:rsid w:val="68EE2E29"/>
    <w:rsid w:val="68F205FC"/>
    <w:rsid w:val="69096CF1"/>
    <w:rsid w:val="697F2C44"/>
    <w:rsid w:val="6A3361D8"/>
    <w:rsid w:val="6A384A92"/>
    <w:rsid w:val="6AE318EB"/>
    <w:rsid w:val="6B4E3A65"/>
    <w:rsid w:val="6B7666FB"/>
    <w:rsid w:val="6BEC7A32"/>
    <w:rsid w:val="6E0B117C"/>
    <w:rsid w:val="6E5C0E87"/>
    <w:rsid w:val="6E701725"/>
    <w:rsid w:val="6E996E51"/>
    <w:rsid w:val="6ED75828"/>
    <w:rsid w:val="6F3C46E7"/>
    <w:rsid w:val="6F9B3DED"/>
    <w:rsid w:val="70364F31"/>
    <w:rsid w:val="705310E6"/>
    <w:rsid w:val="70BD180A"/>
    <w:rsid w:val="70D821E6"/>
    <w:rsid w:val="72206064"/>
    <w:rsid w:val="72495180"/>
    <w:rsid w:val="73F227A5"/>
    <w:rsid w:val="73F3543A"/>
    <w:rsid w:val="741E5D9F"/>
    <w:rsid w:val="744D716B"/>
    <w:rsid w:val="74566F11"/>
    <w:rsid w:val="74D36C9A"/>
    <w:rsid w:val="74F126BE"/>
    <w:rsid w:val="750632D6"/>
    <w:rsid w:val="75306BE1"/>
    <w:rsid w:val="75593AEC"/>
    <w:rsid w:val="75F73125"/>
    <w:rsid w:val="76703FB5"/>
    <w:rsid w:val="76C76B6C"/>
    <w:rsid w:val="76C83CFD"/>
    <w:rsid w:val="772752DF"/>
    <w:rsid w:val="7783749C"/>
    <w:rsid w:val="77F24FA9"/>
    <w:rsid w:val="78167352"/>
    <w:rsid w:val="7835271B"/>
    <w:rsid w:val="78871B58"/>
    <w:rsid w:val="789915CE"/>
    <w:rsid w:val="78B25C7E"/>
    <w:rsid w:val="790564A3"/>
    <w:rsid w:val="79DA230D"/>
    <w:rsid w:val="7A0F6CE8"/>
    <w:rsid w:val="7B5E2BF8"/>
    <w:rsid w:val="7BE43F56"/>
    <w:rsid w:val="7C2B5808"/>
    <w:rsid w:val="7C2D7832"/>
    <w:rsid w:val="7C2F4502"/>
    <w:rsid w:val="7C3974EC"/>
    <w:rsid w:val="7C6423A7"/>
    <w:rsid w:val="7DE82A56"/>
    <w:rsid w:val="7E4C5F38"/>
    <w:rsid w:val="7E580216"/>
    <w:rsid w:val="7E6D3342"/>
    <w:rsid w:val="7E711F53"/>
    <w:rsid w:val="7E9A50CB"/>
    <w:rsid w:val="7F8F4C18"/>
    <w:rsid w:val="7F9E6EE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99"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jc w:val="both"/>
    </w:pPr>
    <w:rPr>
      <w:rFonts w:ascii="Courier New" w:hAnsi="Courier New" w:eastAsia="宋体" w:cs="Times New Roman"/>
      <w:kern w:val="2"/>
      <w:sz w:val="21"/>
      <w:szCs w:val="24"/>
      <w:lang w:val="en-US" w:eastAsia="zh-CN" w:bidi="ar-SA"/>
    </w:rPr>
  </w:style>
  <w:style w:type="paragraph" w:styleId="4">
    <w:name w:val="heading 1"/>
    <w:basedOn w:val="1"/>
    <w:next w:val="1"/>
    <w:link w:val="65"/>
    <w:qFormat/>
    <w:uiPriority w:val="9"/>
    <w:pPr>
      <w:keepNext/>
      <w:keepLines/>
      <w:spacing w:before="20" w:after="20"/>
      <w:jc w:val="center"/>
      <w:outlineLvl w:val="0"/>
    </w:pPr>
    <w:rPr>
      <w:b/>
      <w:bCs/>
      <w:kern w:val="44"/>
      <w:sz w:val="28"/>
      <w:szCs w:val="44"/>
    </w:rPr>
  </w:style>
  <w:style w:type="paragraph" w:styleId="5">
    <w:name w:val="heading 2"/>
    <w:basedOn w:val="1"/>
    <w:next w:val="1"/>
    <w:link w:val="66"/>
    <w:autoRedefine/>
    <w:qFormat/>
    <w:uiPriority w:val="9"/>
    <w:pPr>
      <w:keepNext/>
      <w:keepLines/>
      <w:jc w:val="left"/>
      <w:outlineLvl w:val="1"/>
    </w:pPr>
    <w:rPr>
      <w:rFonts w:ascii="Wingdings" w:hAnsi="Wingdings"/>
      <w:b/>
      <w:bCs/>
      <w:sz w:val="24"/>
      <w:szCs w:val="32"/>
    </w:rPr>
  </w:style>
  <w:style w:type="paragraph" w:styleId="6">
    <w:name w:val="heading 3"/>
    <w:basedOn w:val="1"/>
    <w:next w:val="1"/>
    <w:link w:val="67"/>
    <w:autoRedefine/>
    <w:qFormat/>
    <w:uiPriority w:val="9"/>
    <w:pPr>
      <w:keepNext/>
      <w:keepLines/>
      <w:jc w:val="left"/>
      <w:outlineLvl w:val="2"/>
    </w:pPr>
    <w:rPr>
      <w:b/>
      <w:bCs/>
      <w:sz w:val="24"/>
      <w:szCs w:val="32"/>
    </w:rPr>
  </w:style>
  <w:style w:type="paragraph" w:styleId="7">
    <w:name w:val="heading 4"/>
    <w:basedOn w:val="1"/>
    <w:next w:val="1"/>
    <w:link w:val="68"/>
    <w:qFormat/>
    <w:uiPriority w:val="9"/>
    <w:pPr>
      <w:keepNext/>
      <w:keepLines/>
      <w:jc w:val="center"/>
      <w:outlineLvl w:val="3"/>
    </w:pPr>
    <w:rPr>
      <w:bCs/>
      <w:sz w:val="28"/>
    </w:rPr>
  </w:style>
  <w:style w:type="paragraph" w:styleId="8">
    <w:name w:val="heading 5"/>
    <w:basedOn w:val="1"/>
    <w:next w:val="1"/>
    <w:link w:val="69"/>
    <w:autoRedefine/>
    <w:qFormat/>
    <w:uiPriority w:val="0"/>
    <w:pPr>
      <w:keepNext/>
      <w:keepLines/>
      <w:jc w:val="center"/>
      <w:outlineLvl w:val="4"/>
    </w:pPr>
    <w:rPr>
      <w:b/>
      <w:sz w:val="44"/>
    </w:rPr>
  </w:style>
  <w:style w:type="paragraph" w:styleId="9">
    <w:name w:val="heading 6"/>
    <w:basedOn w:val="1"/>
    <w:next w:val="1"/>
    <w:link w:val="70"/>
    <w:autoRedefine/>
    <w:qFormat/>
    <w:uiPriority w:val="0"/>
    <w:pPr>
      <w:keepNext/>
      <w:keepLines/>
      <w:spacing w:before="240" w:after="64" w:line="320" w:lineRule="auto"/>
      <w:outlineLvl w:val="5"/>
    </w:pPr>
    <w:rPr>
      <w:rFonts w:ascii="等线 Light" w:hAnsi="等线 Light" w:eastAsia="等线 Light"/>
      <w:b/>
      <w:bCs/>
      <w:sz w:val="24"/>
    </w:rPr>
  </w:style>
  <w:style w:type="paragraph" w:styleId="10">
    <w:name w:val="heading 7"/>
    <w:basedOn w:val="1"/>
    <w:next w:val="1"/>
    <w:link w:val="71"/>
    <w:autoRedefine/>
    <w:qFormat/>
    <w:uiPriority w:val="0"/>
    <w:pPr>
      <w:keepNext/>
      <w:keepLines/>
      <w:tabs>
        <w:tab w:val="left" w:pos="1296"/>
      </w:tabs>
      <w:spacing w:before="260" w:after="260" w:line="319" w:lineRule="auto"/>
      <w:outlineLvl w:val="6"/>
    </w:pPr>
    <w:rPr>
      <w:rFonts w:ascii="宋体" w:hAnsi="宋体"/>
      <w:b/>
      <w:bCs/>
      <w:sz w:val="24"/>
    </w:rPr>
  </w:style>
  <w:style w:type="paragraph" w:styleId="11">
    <w:name w:val="heading 8"/>
    <w:basedOn w:val="1"/>
    <w:next w:val="1"/>
    <w:link w:val="72"/>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2">
    <w:name w:val="heading 9"/>
    <w:basedOn w:val="1"/>
    <w:next w:val="1"/>
    <w:link w:val="73"/>
    <w:autoRedefine/>
    <w:qFormat/>
    <w:uiPriority w:val="0"/>
    <w:pPr>
      <w:keepNext/>
      <w:keepLines/>
      <w:tabs>
        <w:tab w:val="left" w:pos="1584"/>
      </w:tabs>
      <w:spacing w:before="240" w:after="64" w:line="320" w:lineRule="auto"/>
      <w:ind w:left="1584" w:hanging="1584"/>
      <w:outlineLvl w:val="8"/>
    </w:pPr>
    <w:rPr>
      <w:rFonts w:ascii="Arial" w:hAnsi="Arial" w:eastAsia="黑体"/>
      <w:sz w:val="24"/>
      <w:szCs w:val="21"/>
    </w:rPr>
  </w:style>
  <w:style w:type="character" w:default="1" w:styleId="51">
    <w:name w:val="Default Paragraph Font"/>
    <w:autoRedefine/>
    <w:semiHidden/>
    <w:unhideWhenUsed/>
    <w:qFormat/>
    <w:uiPriority w:val="1"/>
  </w:style>
  <w:style w:type="table" w:default="1" w:styleId="49">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3"/>
    <w:link w:val="77"/>
    <w:autoRedefine/>
    <w:qFormat/>
    <w:uiPriority w:val="0"/>
    <w:rPr>
      <w:rFonts w:hAnsi="等线 Light" w:eastAsia="Courier New" w:cs="等线 Light"/>
      <w:szCs w:val="21"/>
    </w:rPr>
  </w:style>
  <w:style w:type="paragraph" w:customStyle="1" w:styleId="3">
    <w:name w:val="Default"/>
    <w:autoRedefine/>
    <w:qFormat/>
    <w:uiPriority w:val="0"/>
    <w:pPr>
      <w:widowControl w:val="0"/>
      <w:autoSpaceDE w:val="0"/>
      <w:autoSpaceDN w:val="0"/>
      <w:adjustRightInd w:val="0"/>
      <w:spacing w:line="360" w:lineRule="auto"/>
      <w:jc w:val="both"/>
    </w:pPr>
    <w:rPr>
      <w:rFonts w:ascii="Wingdings" w:hAnsi="Wingdings" w:eastAsia="宋体" w:cs="Wingdings"/>
      <w:color w:val="000000"/>
      <w:kern w:val="2"/>
      <w:sz w:val="24"/>
      <w:szCs w:val="24"/>
      <w:lang w:val="en-US" w:eastAsia="zh-CN" w:bidi="ar-SA"/>
    </w:rPr>
  </w:style>
  <w:style w:type="paragraph" w:styleId="13">
    <w:name w:val="toc 7"/>
    <w:basedOn w:val="1"/>
    <w:next w:val="1"/>
    <w:autoRedefine/>
    <w:qFormat/>
    <w:uiPriority w:val="39"/>
    <w:pPr>
      <w:ind w:left="1260"/>
      <w:jc w:val="left"/>
    </w:pPr>
    <w:rPr>
      <w:rFonts w:asciiTheme="minorHAnsi" w:eastAsiaTheme="minorHAnsi"/>
      <w:sz w:val="18"/>
      <w:szCs w:val="18"/>
    </w:rPr>
  </w:style>
  <w:style w:type="paragraph" w:styleId="14">
    <w:name w:val="List Number"/>
    <w:basedOn w:val="1"/>
    <w:autoRedefine/>
    <w:qFormat/>
    <w:uiPriority w:val="0"/>
    <w:pPr>
      <w:tabs>
        <w:tab w:val="left" w:pos="845"/>
      </w:tabs>
      <w:adjustRightInd w:val="0"/>
      <w:ind w:left="845" w:hanging="420"/>
      <w:textAlignment w:val="baseline"/>
    </w:pPr>
    <w:rPr>
      <w:b/>
      <w:bCs/>
      <w:color w:val="000000"/>
      <w:kern w:val="0"/>
      <w:sz w:val="24"/>
      <w:szCs w:val="20"/>
    </w:rPr>
  </w:style>
  <w:style w:type="paragraph" w:styleId="15">
    <w:name w:val="Normal Indent"/>
    <w:basedOn w:val="1"/>
    <w:next w:val="1"/>
    <w:link w:val="74"/>
    <w:autoRedefine/>
    <w:qFormat/>
    <w:uiPriority w:val="0"/>
    <w:pPr>
      <w:autoSpaceDE w:val="0"/>
      <w:autoSpaceDN w:val="0"/>
      <w:adjustRightInd w:val="0"/>
      <w:ind w:firstLine="420"/>
      <w:jc w:val="left"/>
      <w:textAlignment w:val="baseline"/>
    </w:pPr>
    <w:rPr>
      <w:rFonts w:eastAsia="Courier New"/>
      <w:kern w:val="0"/>
      <w:sz w:val="34"/>
      <w:szCs w:val="20"/>
    </w:rPr>
  </w:style>
  <w:style w:type="paragraph" w:styleId="16">
    <w:name w:val="caption"/>
    <w:basedOn w:val="1"/>
    <w:next w:val="1"/>
    <w:autoRedefine/>
    <w:qFormat/>
    <w:uiPriority w:val="35"/>
    <w:rPr>
      <w:rFonts w:ascii="Wingdings" w:hAnsi="Wingdings" w:eastAsia="文鼎CS中黑" w:cs="Wingdings"/>
      <w:sz w:val="20"/>
      <w:szCs w:val="20"/>
    </w:rPr>
  </w:style>
  <w:style w:type="paragraph" w:styleId="17">
    <w:name w:val="Document Map"/>
    <w:basedOn w:val="1"/>
    <w:link w:val="335"/>
    <w:autoRedefine/>
    <w:qFormat/>
    <w:uiPriority w:val="99"/>
    <w:pPr>
      <w:shd w:val="clear" w:color="auto" w:fill="000080"/>
    </w:pPr>
  </w:style>
  <w:style w:type="paragraph" w:styleId="18">
    <w:name w:val="annotation text"/>
    <w:basedOn w:val="1"/>
    <w:link w:val="75"/>
    <w:autoRedefine/>
    <w:qFormat/>
    <w:uiPriority w:val="0"/>
    <w:pPr>
      <w:jc w:val="left"/>
    </w:pPr>
  </w:style>
  <w:style w:type="paragraph" w:styleId="19">
    <w:name w:val="Salutation"/>
    <w:basedOn w:val="1"/>
    <w:next w:val="1"/>
    <w:link w:val="336"/>
    <w:autoRedefine/>
    <w:qFormat/>
    <w:uiPriority w:val="0"/>
  </w:style>
  <w:style w:type="paragraph" w:styleId="20">
    <w:name w:val="Body Text 3"/>
    <w:basedOn w:val="1"/>
    <w:link w:val="337"/>
    <w:autoRedefine/>
    <w:qFormat/>
    <w:uiPriority w:val="0"/>
    <w:pPr>
      <w:spacing w:after="120"/>
    </w:pPr>
    <w:rPr>
      <w:sz w:val="16"/>
      <w:szCs w:val="16"/>
    </w:rPr>
  </w:style>
  <w:style w:type="paragraph" w:styleId="21">
    <w:name w:val="Body Text"/>
    <w:basedOn w:val="1"/>
    <w:link w:val="64"/>
    <w:qFormat/>
    <w:uiPriority w:val="0"/>
  </w:style>
  <w:style w:type="paragraph" w:styleId="22">
    <w:name w:val="Body Text Indent"/>
    <w:basedOn w:val="1"/>
    <w:link w:val="76"/>
    <w:autoRedefine/>
    <w:qFormat/>
    <w:uiPriority w:val="0"/>
    <w:pPr>
      <w:adjustRightInd w:val="0"/>
      <w:snapToGrid w:val="0"/>
      <w:ind w:firstLine="420" w:firstLineChars="200"/>
    </w:pPr>
  </w:style>
  <w:style w:type="paragraph" w:styleId="23">
    <w:name w:val="toc 5"/>
    <w:basedOn w:val="1"/>
    <w:next w:val="1"/>
    <w:autoRedefine/>
    <w:qFormat/>
    <w:uiPriority w:val="39"/>
    <w:pPr>
      <w:ind w:left="840"/>
      <w:jc w:val="left"/>
    </w:pPr>
    <w:rPr>
      <w:rFonts w:asciiTheme="minorHAnsi" w:eastAsiaTheme="minorHAnsi"/>
      <w:sz w:val="18"/>
      <w:szCs w:val="18"/>
    </w:rPr>
  </w:style>
  <w:style w:type="paragraph" w:styleId="24">
    <w:name w:val="toc 3"/>
    <w:basedOn w:val="1"/>
    <w:next w:val="1"/>
    <w:qFormat/>
    <w:uiPriority w:val="39"/>
    <w:pPr>
      <w:ind w:left="420"/>
      <w:jc w:val="left"/>
    </w:pPr>
    <w:rPr>
      <w:rFonts w:asciiTheme="minorHAnsi" w:eastAsiaTheme="minorHAnsi"/>
      <w:i/>
      <w:iCs/>
      <w:sz w:val="20"/>
      <w:szCs w:val="20"/>
    </w:rPr>
  </w:style>
  <w:style w:type="paragraph" w:styleId="25">
    <w:name w:val="toc 8"/>
    <w:basedOn w:val="1"/>
    <w:next w:val="1"/>
    <w:autoRedefine/>
    <w:qFormat/>
    <w:uiPriority w:val="39"/>
    <w:pPr>
      <w:ind w:left="1470"/>
      <w:jc w:val="left"/>
    </w:pPr>
    <w:rPr>
      <w:rFonts w:asciiTheme="minorHAnsi" w:eastAsiaTheme="minorHAnsi"/>
      <w:sz w:val="18"/>
      <w:szCs w:val="18"/>
    </w:rPr>
  </w:style>
  <w:style w:type="paragraph" w:styleId="26">
    <w:name w:val="Date"/>
    <w:basedOn w:val="1"/>
    <w:next w:val="1"/>
    <w:link w:val="78"/>
    <w:autoRedefine/>
    <w:qFormat/>
    <w:uiPriority w:val="99"/>
    <w:pPr>
      <w:autoSpaceDE w:val="0"/>
      <w:autoSpaceDN w:val="0"/>
      <w:adjustRightInd w:val="0"/>
      <w:textAlignment w:val="baseline"/>
    </w:pPr>
    <w:rPr>
      <w:kern w:val="0"/>
      <w:sz w:val="28"/>
      <w:szCs w:val="20"/>
    </w:rPr>
  </w:style>
  <w:style w:type="paragraph" w:styleId="27">
    <w:name w:val="Body Text Indent 2"/>
    <w:basedOn w:val="1"/>
    <w:link w:val="79"/>
    <w:autoRedefine/>
    <w:qFormat/>
    <w:uiPriority w:val="0"/>
    <w:pPr>
      <w:spacing w:line="480" w:lineRule="exact"/>
      <w:ind w:left="810" w:firstLine="675"/>
    </w:pPr>
    <w:rPr>
      <w:rFonts w:eastAsia="SimSun-Identity-H"/>
      <w:sz w:val="30"/>
      <w:szCs w:val="20"/>
    </w:rPr>
  </w:style>
  <w:style w:type="paragraph" w:styleId="28">
    <w:name w:val="endnote text"/>
    <w:basedOn w:val="1"/>
    <w:link w:val="80"/>
    <w:autoRedefine/>
    <w:qFormat/>
    <w:uiPriority w:val="0"/>
    <w:pPr>
      <w:snapToGrid w:val="0"/>
      <w:jc w:val="left"/>
    </w:pPr>
  </w:style>
  <w:style w:type="paragraph" w:styleId="29">
    <w:name w:val="Balloon Text"/>
    <w:basedOn w:val="1"/>
    <w:link w:val="81"/>
    <w:autoRedefine/>
    <w:qFormat/>
    <w:uiPriority w:val="0"/>
    <w:rPr>
      <w:sz w:val="18"/>
      <w:szCs w:val="18"/>
    </w:rPr>
  </w:style>
  <w:style w:type="paragraph" w:styleId="30">
    <w:name w:val="footer"/>
    <w:basedOn w:val="1"/>
    <w:link w:val="82"/>
    <w:qFormat/>
    <w:uiPriority w:val="99"/>
    <w:pPr>
      <w:tabs>
        <w:tab w:val="center" w:pos="4153"/>
        <w:tab w:val="right" w:pos="8306"/>
      </w:tabs>
      <w:snapToGrid w:val="0"/>
      <w:jc w:val="left"/>
    </w:pPr>
    <w:rPr>
      <w:rFonts w:eastAsia="Courier New"/>
      <w:sz w:val="18"/>
      <w:szCs w:val="18"/>
    </w:rPr>
  </w:style>
  <w:style w:type="paragraph" w:styleId="31">
    <w:name w:val="envelope return"/>
    <w:basedOn w:val="1"/>
    <w:autoRedefine/>
    <w:qFormat/>
    <w:uiPriority w:val="0"/>
    <w:pPr>
      <w:snapToGrid w:val="0"/>
    </w:pPr>
    <w:rPr>
      <w:rFonts w:ascii="Arial" w:hAnsi="Arial"/>
    </w:rPr>
  </w:style>
  <w:style w:type="paragraph" w:styleId="32">
    <w:name w:val="header"/>
    <w:basedOn w:val="1"/>
    <w:link w:val="83"/>
    <w:autoRedefine/>
    <w:qFormat/>
    <w:uiPriority w:val="99"/>
    <w:pPr>
      <w:pBdr>
        <w:bottom w:val="single" w:color="auto" w:sz="6" w:space="1"/>
      </w:pBdr>
      <w:tabs>
        <w:tab w:val="center" w:pos="4153"/>
        <w:tab w:val="right" w:pos="8306"/>
      </w:tabs>
      <w:snapToGrid w:val="0"/>
      <w:jc w:val="center"/>
    </w:pPr>
    <w:rPr>
      <w:sz w:val="18"/>
      <w:szCs w:val="18"/>
    </w:rPr>
  </w:style>
  <w:style w:type="paragraph" w:styleId="33">
    <w:name w:val="toc 1"/>
    <w:basedOn w:val="1"/>
    <w:next w:val="1"/>
    <w:autoRedefine/>
    <w:qFormat/>
    <w:uiPriority w:val="39"/>
    <w:pPr>
      <w:spacing w:before="60" w:after="60"/>
      <w:jc w:val="left"/>
    </w:pPr>
    <w:rPr>
      <w:rFonts w:asciiTheme="minorHAnsi"/>
      <w:b/>
      <w:bCs/>
      <w:caps/>
      <w:sz w:val="32"/>
      <w:szCs w:val="20"/>
    </w:rPr>
  </w:style>
  <w:style w:type="paragraph" w:styleId="34">
    <w:name w:val="toc 4"/>
    <w:basedOn w:val="1"/>
    <w:next w:val="1"/>
    <w:autoRedefine/>
    <w:qFormat/>
    <w:uiPriority w:val="39"/>
    <w:pPr>
      <w:ind w:left="630"/>
      <w:jc w:val="left"/>
    </w:pPr>
    <w:rPr>
      <w:rFonts w:asciiTheme="minorHAnsi" w:eastAsiaTheme="minorHAnsi"/>
      <w:sz w:val="18"/>
      <w:szCs w:val="18"/>
    </w:rPr>
  </w:style>
  <w:style w:type="paragraph" w:styleId="35">
    <w:name w:val="index heading"/>
    <w:basedOn w:val="1"/>
    <w:next w:val="36"/>
    <w:autoRedefine/>
    <w:qFormat/>
    <w:uiPriority w:val="0"/>
    <w:rPr>
      <w:szCs w:val="20"/>
    </w:rPr>
  </w:style>
  <w:style w:type="paragraph" w:styleId="36">
    <w:name w:val="index 1"/>
    <w:basedOn w:val="1"/>
    <w:next w:val="1"/>
    <w:autoRedefine/>
    <w:qFormat/>
    <w:uiPriority w:val="0"/>
  </w:style>
  <w:style w:type="paragraph" w:styleId="37">
    <w:name w:val="footnote text"/>
    <w:basedOn w:val="1"/>
    <w:link w:val="84"/>
    <w:autoRedefine/>
    <w:qFormat/>
    <w:uiPriority w:val="0"/>
    <w:pPr>
      <w:snapToGrid w:val="0"/>
      <w:jc w:val="left"/>
    </w:pPr>
    <w:rPr>
      <w:sz w:val="18"/>
      <w:szCs w:val="20"/>
    </w:rPr>
  </w:style>
  <w:style w:type="paragraph" w:styleId="38">
    <w:name w:val="toc 6"/>
    <w:basedOn w:val="1"/>
    <w:next w:val="1"/>
    <w:autoRedefine/>
    <w:qFormat/>
    <w:uiPriority w:val="39"/>
    <w:pPr>
      <w:ind w:left="1050"/>
      <w:jc w:val="left"/>
    </w:pPr>
    <w:rPr>
      <w:rFonts w:asciiTheme="minorHAnsi" w:eastAsiaTheme="minorHAnsi"/>
      <w:sz w:val="18"/>
      <w:szCs w:val="18"/>
    </w:rPr>
  </w:style>
  <w:style w:type="paragraph" w:styleId="39">
    <w:name w:val="Body Text Indent 3"/>
    <w:basedOn w:val="1"/>
    <w:link w:val="85"/>
    <w:autoRedefine/>
    <w:qFormat/>
    <w:uiPriority w:val="99"/>
    <w:pPr>
      <w:adjustRightInd w:val="0"/>
      <w:snapToGrid w:val="0"/>
      <w:ind w:firstLine="560" w:firstLineChars="200"/>
    </w:pPr>
    <w:rPr>
      <w:sz w:val="28"/>
    </w:rPr>
  </w:style>
  <w:style w:type="paragraph" w:styleId="40">
    <w:name w:val="toc 2"/>
    <w:basedOn w:val="1"/>
    <w:next w:val="1"/>
    <w:autoRedefine/>
    <w:qFormat/>
    <w:uiPriority w:val="39"/>
    <w:pPr>
      <w:ind w:left="210"/>
      <w:jc w:val="left"/>
    </w:pPr>
    <w:rPr>
      <w:rFonts w:asciiTheme="minorHAnsi" w:eastAsiaTheme="minorHAnsi"/>
      <w:smallCaps/>
      <w:sz w:val="20"/>
      <w:szCs w:val="20"/>
    </w:rPr>
  </w:style>
  <w:style w:type="paragraph" w:styleId="41">
    <w:name w:val="toc 9"/>
    <w:basedOn w:val="1"/>
    <w:next w:val="1"/>
    <w:autoRedefine/>
    <w:qFormat/>
    <w:uiPriority w:val="39"/>
    <w:pPr>
      <w:ind w:left="1680"/>
      <w:jc w:val="left"/>
    </w:pPr>
    <w:rPr>
      <w:rFonts w:asciiTheme="minorHAnsi" w:eastAsiaTheme="minorHAnsi"/>
      <w:sz w:val="18"/>
      <w:szCs w:val="18"/>
    </w:rPr>
  </w:style>
  <w:style w:type="paragraph" w:styleId="42">
    <w:name w:val="Body Text 2"/>
    <w:basedOn w:val="1"/>
    <w:link w:val="86"/>
    <w:autoRedefine/>
    <w:qFormat/>
    <w:uiPriority w:val="0"/>
    <w:pPr>
      <w:spacing w:after="120" w:line="480" w:lineRule="auto"/>
    </w:pPr>
  </w:style>
  <w:style w:type="paragraph" w:styleId="43">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44">
    <w:name w:val="Normal (Web)"/>
    <w:basedOn w:val="1"/>
    <w:autoRedefine/>
    <w:qFormat/>
    <w:uiPriority w:val="99"/>
    <w:pPr>
      <w:spacing w:before="100" w:beforeAutospacing="1" w:after="100" w:afterAutospacing="1"/>
      <w:jc w:val="left"/>
    </w:pPr>
    <w:rPr>
      <w:color w:val="000000"/>
      <w:kern w:val="0"/>
      <w:sz w:val="24"/>
    </w:rPr>
  </w:style>
  <w:style w:type="paragraph" w:styleId="45">
    <w:name w:val="Title"/>
    <w:basedOn w:val="1"/>
    <w:next w:val="1"/>
    <w:link w:val="87"/>
    <w:autoRedefine/>
    <w:qFormat/>
    <w:uiPriority w:val="0"/>
    <w:pPr>
      <w:spacing w:before="240" w:after="60"/>
      <w:jc w:val="center"/>
      <w:outlineLvl w:val="0"/>
    </w:pPr>
    <w:rPr>
      <w:rFonts w:ascii="Wingdings" w:hAnsi="Wingdings"/>
      <w:b/>
      <w:bCs/>
      <w:sz w:val="32"/>
      <w:szCs w:val="32"/>
    </w:rPr>
  </w:style>
  <w:style w:type="paragraph" w:styleId="46">
    <w:name w:val="annotation subject"/>
    <w:basedOn w:val="18"/>
    <w:next w:val="18"/>
    <w:link w:val="88"/>
    <w:autoRedefine/>
    <w:qFormat/>
    <w:uiPriority w:val="0"/>
    <w:rPr>
      <w:b/>
      <w:bCs/>
    </w:rPr>
  </w:style>
  <w:style w:type="paragraph" w:styleId="47">
    <w:name w:val="Body Text First Indent"/>
    <w:basedOn w:val="21"/>
    <w:link w:val="338"/>
    <w:autoRedefine/>
    <w:qFormat/>
    <w:uiPriority w:val="99"/>
    <w:pPr>
      <w:spacing w:after="120" w:line="240" w:lineRule="auto"/>
      <w:ind w:firstLine="420" w:firstLineChars="100"/>
    </w:pPr>
    <w:rPr>
      <w:rFonts w:ascii="宋体" w:hAnsi="宋体"/>
    </w:rPr>
  </w:style>
  <w:style w:type="paragraph" w:styleId="48">
    <w:name w:val="Body Text First Indent 2"/>
    <w:basedOn w:val="22"/>
    <w:link w:val="89"/>
    <w:autoRedefine/>
    <w:qFormat/>
    <w:uiPriority w:val="99"/>
    <w:pPr>
      <w:adjustRightInd/>
      <w:snapToGrid/>
      <w:spacing w:after="120" w:line="240" w:lineRule="auto"/>
      <w:ind w:left="420" w:leftChars="200"/>
    </w:pPr>
  </w:style>
  <w:style w:type="table" w:styleId="50">
    <w:name w:val="Table Grid"/>
    <w:basedOn w:val="49"/>
    <w:autoRedefine/>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2">
    <w:name w:val="Strong"/>
    <w:basedOn w:val="51"/>
    <w:autoRedefine/>
    <w:qFormat/>
    <w:uiPriority w:val="0"/>
    <w:rPr>
      <w:rFonts w:ascii="仿宋" w:hAnsi="仿宋" w:eastAsia="Courier New"/>
      <w:b/>
      <w:bCs/>
      <w:spacing w:val="10"/>
      <w:sz w:val="24"/>
      <w:lang w:val="en-US" w:eastAsia="zh-CN" w:bidi="ar-SA"/>
    </w:rPr>
  </w:style>
  <w:style w:type="character" w:styleId="53">
    <w:name w:val="endnote reference"/>
    <w:autoRedefine/>
    <w:qFormat/>
    <w:uiPriority w:val="0"/>
    <w:rPr>
      <w:vertAlign w:val="superscript"/>
    </w:rPr>
  </w:style>
  <w:style w:type="character" w:styleId="54">
    <w:name w:val="page number"/>
    <w:autoRedefine/>
    <w:qFormat/>
    <w:uiPriority w:val="0"/>
  </w:style>
  <w:style w:type="character" w:styleId="55">
    <w:name w:val="FollowedHyperlink"/>
    <w:autoRedefine/>
    <w:qFormat/>
    <w:uiPriority w:val="0"/>
    <w:rPr>
      <w:color w:val="333333"/>
      <w:u w:val="none"/>
    </w:rPr>
  </w:style>
  <w:style w:type="character" w:styleId="56">
    <w:name w:val="Emphasis"/>
    <w:autoRedefine/>
    <w:qFormat/>
    <w:uiPriority w:val="0"/>
    <w:rPr>
      <w:i/>
      <w:iCs/>
    </w:rPr>
  </w:style>
  <w:style w:type="character" w:styleId="57">
    <w:name w:val="HTML Definition"/>
    <w:autoRedefine/>
    <w:qFormat/>
    <w:uiPriority w:val="0"/>
  </w:style>
  <w:style w:type="character" w:styleId="58">
    <w:name w:val="HTML Acronym"/>
    <w:autoRedefine/>
    <w:qFormat/>
    <w:uiPriority w:val="0"/>
  </w:style>
  <w:style w:type="character" w:styleId="59">
    <w:name w:val="HTML Variable"/>
    <w:autoRedefine/>
    <w:qFormat/>
    <w:uiPriority w:val="0"/>
  </w:style>
  <w:style w:type="character" w:styleId="60">
    <w:name w:val="Hyperlink"/>
    <w:autoRedefine/>
    <w:qFormat/>
    <w:uiPriority w:val="99"/>
    <w:rPr>
      <w:color w:val="333333"/>
      <w:u w:val="none"/>
    </w:rPr>
  </w:style>
  <w:style w:type="character" w:styleId="61">
    <w:name w:val="HTML Code"/>
    <w:autoRedefine/>
    <w:qFormat/>
    <w:uiPriority w:val="0"/>
    <w:rPr>
      <w:rFonts w:ascii="Courier New" w:hAnsi="Courier New"/>
      <w:sz w:val="20"/>
    </w:rPr>
  </w:style>
  <w:style w:type="character" w:styleId="62">
    <w:name w:val="annotation reference"/>
    <w:autoRedefine/>
    <w:qFormat/>
    <w:uiPriority w:val="99"/>
    <w:rPr>
      <w:sz w:val="21"/>
      <w:szCs w:val="21"/>
    </w:rPr>
  </w:style>
  <w:style w:type="character" w:styleId="63">
    <w:name w:val="HTML Cite"/>
    <w:autoRedefine/>
    <w:qFormat/>
    <w:uiPriority w:val="0"/>
  </w:style>
  <w:style w:type="character" w:customStyle="1" w:styleId="64">
    <w:name w:val="正文文本 Char"/>
    <w:link w:val="21"/>
    <w:autoRedefine/>
    <w:qFormat/>
    <w:uiPriority w:val="0"/>
  </w:style>
  <w:style w:type="character" w:customStyle="1" w:styleId="65">
    <w:name w:val="标题 1 Char"/>
    <w:link w:val="4"/>
    <w:autoRedefine/>
    <w:qFormat/>
    <w:uiPriority w:val="9"/>
    <w:rPr>
      <w:b/>
      <w:bCs/>
      <w:kern w:val="44"/>
      <w:sz w:val="28"/>
      <w:szCs w:val="44"/>
    </w:rPr>
  </w:style>
  <w:style w:type="character" w:customStyle="1" w:styleId="66">
    <w:name w:val="标题 2 Char1"/>
    <w:link w:val="5"/>
    <w:autoRedefine/>
    <w:qFormat/>
    <w:uiPriority w:val="9"/>
    <w:rPr>
      <w:rFonts w:ascii="Wingdings" w:hAnsi="Wingdings"/>
      <w:b/>
      <w:bCs/>
      <w:sz w:val="24"/>
      <w:szCs w:val="32"/>
    </w:rPr>
  </w:style>
  <w:style w:type="character" w:customStyle="1" w:styleId="67">
    <w:name w:val="标题 3 Char"/>
    <w:link w:val="6"/>
    <w:autoRedefine/>
    <w:qFormat/>
    <w:uiPriority w:val="9"/>
    <w:rPr>
      <w:b/>
      <w:bCs/>
      <w:sz w:val="24"/>
      <w:szCs w:val="32"/>
    </w:rPr>
  </w:style>
  <w:style w:type="character" w:customStyle="1" w:styleId="68">
    <w:name w:val="标题 4 Char"/>
    <w:link w:val="7"/>
    <w:autoRedefine/>
    <w:qFormat/>
    <w:uiPriority w:val="9"/>
    <w:rPr>
      <w:rFonts w:ascii="Courier New" w:hAnsi="Courier New"/>
      <w:bCs/>
      <w:kern w:val="2"/>
      <w:sz w:val="28"/>
      <w:szCs w:val="24"/>
    </w:rPr>
  </w:style>
  <w:style w:type="character" w:customStyle="1" w:styleId="69">
    <w:name w:val="标题 5 Char"/>
    <w:link w:val="8"/>
    <w:autoRedefine/>
    <w:qFormat/>
    <w:uiPriority w:val="0"/>
    <w:rPr>
      <w:rFonts w:ascii="Courier New" w:hAnsi="Courier New"/>
      <w:b/>
      <w:kern w:val="2"/>
      <w:sz w:val="44"/>
      <w:szCs w:val="24"/>
    </w:rPr>
  </w:style>
  <w:style w:type="character" w:customStyle="1" w:styleId="70">
    <w:name w:val="标题 6 Char"/>
    <w:link w:val="9"/>
    <w:autoRedefine/>
    <w:qFormat/>
    <w:uiPriority w:val="0"/>
    <w:rPr>
      <w:rFonts w:ascii="等线 Light" w:hAnsi="等线 Light" w:eastAsia="等线 Light" w:cs="Times New Roman"/>
      <w:b/>
      <w:bCs/>
      <w:kern w:val="2"/>
      <w:sz w:val="24"/>
      <w:szCs w:val="24"/>
    </w:rPr>
  </w:style>
  <w:style w:type="character" w:customStyle="1" w:styleId="71">
    <w:name w:val="标题 7 Char"/>
    <w:link w:val="10"/>
    <w:autoRedefine/>
    <w:qFormat/>
    <w:uiPriority w:val="0"/>
    <w:rPr>
      <w:rFonts w:ascii="宋体" w:hAnsi="宋体"/>
      <w:b/>
      <w:bCs/>
      <w:kern w:val="2"/>
      <w:sz w:val="24"/>
      <w:szCs w:val="24"/>
    </w:rPr>
  </w:style>
  <w:style w:type="character" w:customStyle="1" w:styleId="72">
    <w:name w:val="标题 8 Char"/>
    <w:link w:val="11"/>
    <w:autoRedefine/>
    <w:qFormat/>
    <w:uiPriority w:val="0"/>
    <w:rPr>
      <w:rFonts w:ascii="Arial" w:hAnsi="Arial" w:eastAsia="黑体"/>
      <w:kern w:val="2"/>
      <w:sz w:val="24"/>
      <w:szCs w:val="24"/>
    </w:rPr>
  </w:style>
  <w:style w:type="character" w:customStyle="1" w:styleId="73">
    <w:name w:val="标题 9 Char"/>
    <w:link w:val="12"/>
    <w:autoRedefine/>
    <w:qFormat/>
    <w:uiPriority w:val="0"/>
    <w:rPr>
      <w:rFonts w:ascii="Arial" w:hAnsi="Arial" w:eastAsia="黑体"/>
      <w:kern w:val="2"/>
      <w:sz w:val="24"/>
      <w:szCs w:val="21"/>
    </w:rPr>
  </w:style>
  <w:style w:type="character" w:customStyle="1" w:styleId="74">
    <w:name w:val="正文缩进 Char1"/>
    <w:link w:val="15"/>
    <w:autoRedefine/>
    <w:qFormat/>
    <w:uiPriority w:val="0"/>
    <w:rPr>
      <w:rFonts w:ascii="Courier New" w:eastAsia="Courier New"/>
      <w:sz w:val="34"/>
      <w:lang w:val="en-US" w:eastAsia="zh-CN" w:bidi="ar-SA"/>
    </w:rPr>
  </w:style>
  <w:style w:type="character" w:customStyle="1" w:styleId="75">
    <w:name w:val="批注文字 Char1"/>
    <w:link w:val="18"/>
    <w:autoRedefine/>
    <w:qFormat/>
    <w:uiPriority w:val="0"/>
    <w:rPr>
      <w:kern w:val="2"/>
      <w:sz w:val="21"/>
      <w:szCs w:val="24"/>
    </w:rPr>
  </w:style>
  <w:style w:type="character" w:customStyle="1" w:styleId="76">
    <w:name w:val="正文文本缩进 Char"/>
    <w:link w:val="22"/>
    <w:autoRedefine/>
    <w:qFormat/>
    <w:uiPriority w:val="0"/>
    <w:rPr>
      <w:kern w:val="2"/>
      <w:sz w:val="21"/>
      <w:szCs w:val="24"/>
    </w:rPr>
  </w:style>
  <w:style w:type="character" w:customStyle="1" w:styleId="77">
    <w:name w:val="纯文本 Char"/>
    <w:link w:val="2"/>
    <w:autoRedefine/>
    <w:qFormat/>
    <w:uiPriority w:val="99"/>
    <w:rPr>
      <w:rFonts w:ascii="Courier New" w:hAnsi="等线 Light" w:eastAsia="Courier New" w:cs="等线 Light"/>
      <w:kern w:val="2"/>
      <w:sz w:val="21"/>
      <w:szCs w:val="21"/>
      <w:lang w:val="en-US" w:eastAsia="zh-CN" w:bidi="ar-SA"/>
    </w:rPr>
  </w:style>
  <w:style w:type="character" w:customStyle="1" w:styleId="78">
    <w:name w:val="日期 Char"/>
    <w:link w:val="26"/>
    <w:autoRedefine/>
    <w:qFormat/>
    <w:uiPriority w:val="99"/>
    <w:rPr>
      <w:rFonts w:ascii="Courier New"/>
      <w:sz w:val="28"/>
    </w:rPr>
  </w:style>
  <w:style w:type="character" w:customStyle="1" w:styleId="79">
    <w:name w:val="正文文本缩进 2 Char"/>
    <w:link w:val="27"/>
    <w:autoRedefine/>
    <w:qFormat/>
    <w:uiPriority w:val="0"/>
    <w:rPr>
      <w:rFonts w:eastAsia="SimSun-Identity-H"/>
      <w:kern w:val="2"/>
      <w:sz w:val="30"/>
    </w:rPr>
  </w:style>
  <w:style w:type="character" w:customStyle="1" w:styleId="80">
    <w:name w:val="尾注文本 Char"/>
    <w:link w:val="28"/>
    <w:autoRedefine/>
    <w:qFormat/>
    <w:uiPriority w:val="0"/>
    <w:rPr>
      <w:kern w:val="2"/>
      <w:sz w:val="21"/>
      <w:szCs w:val="24"/>
    </w:rPr>
  </w:style>
  <w:style w:type="character" w:customStyle="1" w:styleId="81">
    <w:name w:val="批注框文本 Char"/>
    <w:link w:val="29"/>
    <w:autoRedefine/>
    <w:qFormat/>
    <w:uiPriority w:val="0"/>
    <w:rPr>
      <w:kern w:val="2"/>
      <w:sz w:val="18"/>
      <w:szCs w:val="18"/>
    </w:rPr>
  </w:style>
  <w:style w:type="character" w:customStyle="1" w:styleId="82">
    <w:name w:val="页脚 Char"/>
    <w:link w:val="30"/>
    <w:autoRedefine/>
    <w:qFormat/>
    <w:uiPriority w:val="99"/>
    <w:rPr>
      <w:rFonts w:eastAsia="Courier New"/>
      <w:kern w:val="2"/>
      <w:sz w:val="18"/>
      <w:szCs w:val="18"/>
      <w:lang w:val="en-US" w:eastAsia="zh-CN" w:bidi="ar-SA"/>
    </w:rPr>
  </w:style>
  <w:style w:type="character" w:customStyle="1" w:styleId="83">
    <w:name w:val="页眉 Char"/>
    <w:link w:val="32"/>
    <w:autoRedefine/>
    <w:qFormat/>
    <w:uiPriority w:val="99"/>
    <w:rPr>
      <w:kern w:val="2"/>
      <w:sz w:val="18"/>
      <w:szCs w:val="18"/>
    </w:rPr>
  </w:style>
  <w:style w:type="character" w:customStyle="1" w:styleId="84">
    <w:name w:val="脚注文本 Char"/>
    <w:link w:val="37"/>
    <w:autoRedefine/>
    <w:qFormat/>
    <w:uiPriority w:val="0"/>
    <w:rPr>
      <w:kern w:val="2"/>
      <w:sz w:val="18"/>
    </w:rPr>
  </w:style>
  <w:style w:type="character" w:customStyle="1" w:styleId="85">
    <w:name w:val="正文文本缩进 3 Char"/>
    <w:link w:val="39"/>
    <w:autoRedefine/>
    <w:qFormat/>
    <w:uiPriority w:val="99"/>
    <w:rPr>
      <w:rFonts w:ascii="Courier New" w:hAnsi="Courier New"/>
      <w:kern w:val="2"/>
      <w:sz w:val="28"/>
      <w:szCs w:val="24"/>
    </w:rPr>
  </w:style>
  <w:style w:type="character" w:customStyle="1" w:styleId="86">
    <w:name w:val="正文文本 2 Char"/>
    <w:link w:val="42"/>
    <w:autoRedefine/>
    <w:qFormat/>
    <w:uiPriority w:val="0"/>
    <w:rPr>
      <w:kern w:val="2"/>
      <w:sz w:val="21"/>
      <w:szCs w:val="24"/>
    </w:rPr>
  </w:style>
  <w:style w:type="character" w:customStyle="1" w:styleId="87">
    <w:name w:val="标题 Char"/>
    <w:link w:val="45"/>
    <w:autoRedefine/>
    <w:qFormat/>
    <w:uiPriority w:val="0"/>
    <w:rPr>
      <w:rFonts w:ascii="Wingdings" w:hAnsi="Wingdings" w:cs="Wingdings"/>
      <w:b/>
      <w:bCs/>
      <w:kern w:val="2"/>
      <w:sz w:val="32"/>
      <w:szCs w:val="32"/>
    </w:rPr>
  </w:style>
  <w:style w:type="character" w:customStyle="1" w:styleId="88">
    <w:name w:val="批注主题 Char"/>
    <w:link w:val="46"/>
    <w:autoRedefine/>
    <w:qFormat/>
    <w:uiPriority w:val="0"/>
    <w:rPr>
      <w:b/>
      <w:bCs/>
      <w:kern w:val="2"/>
      <w:sz w:val="21"/>
      <w:szCs w:val="24"/>
    </w:rPr>
  </w:style>
  <w:style w:type="character" w:customStyle="1" w:styleId="89">
    <w:name w:val="正文首行缩进 2 Char1"/>
    <w:link w:val="48"/>
    <w:autoRedefine/>
    <w:qFormat/>
    <w:uiPriority w:val="0"/>
  </w:style>
  <w:style w:type="character" w:customStyle="1" w:styleId="90">
    <w:name w:val="wen"/>
    <w:autoRedefine/>
    <w:qFormat/>
    <w:uiPriority w:val="0"/>
    <w:rPr>
      <w:color w:val="FFFFFF"/>
      <w:shd w:val="clear" w:color="auto" w:fill="24A8F6"/>
    </w:rPr>
  </w:style>
  <w:style w:type="character" w:customStyle="1" w:styleId="91">
    <w:name w:val="wlwt"/>
    <w:autoRedefine/>
    <w:qFormat/>
    <w:uiPriority w:val="0"/>
    <w:rPr>
      <w:color w:val="24A8F6"/>
    </w:rPr>
  </w:style>
  <w:style w:type="character" w:customStyle="1" w:styleId="92">
    <w:name w:val="font11"/>
    <w:autoRedefine/>
    <w:qFormat/>
    <w:uiPriority w:val="0"/>
    <w:rPr>
      <w:rFonts w:ascii="Calibri" w:hAnsi="Calibri" w:cs="Calibri"/>
      <w:color w:val="000000"/>
      <w:sz w:val="24"/>
      <w:szCs w:val="24"/>
      <w:u w:val="none"/>
    </w:rPr>
  </w:style>
  <w:style w:type="character" w:customStyle="1" w:styleId="93">
    <w:name w:val="l-btn-icon-right"/>
    <w:autoRedefine/>
    <w:qFormat/>
    <w:uiPriority w:val="0"/>
  </w:style>
  <w:style w:type="character" w:customStyle="1" w:styleId="94">
    <w:name w:val="H4 Char"/>
    <w:autoRedefine/>
    <w:qFormat/>
    <w:uiPriority w:val="0"/>
    <w:rPr>
      <w:rFonts w:ascii="Wingdings" w:hAnsi="Wingdings" w:eastAsia="文鼎CS中黑"/>
      <w:b/>
      <w:sz w:val="28"/>
      <w:lang w:val="en-US" w:eastAsia="zh-CN"/>
    </w:rPr>
  </w:style>
  <w:style w:type="character" w:customStyle="1" w:styleId="95">
    <w:name w:val="l-btn-text"/>
    <w:autoRedefine/>
    <w:qFormat/>
    <w:uiPriority w:val="0"/>
    <w:rPr>
      <w:vertAlign w:val="baseline"/>
    </w:rPr>
  </w:style>
  <w:style w:type="character" w:customStyle="1" w:styleId="96">
    <w:name w:val="l-btn-left1"/>
    <w:autoRedefine/>
    <w:qFormat/>
    <w:uiPriority w:val="0"/>
  </w:style>
  <w:style w:type="character" w:customStyle="1" w:styleId="97">
    <w:name w:val="z-窗体顶端 字符"/>
    <w:link w:val="98"/>
    <w:autoRedefine/>
    <w:qFormat/>
    <w:uiPriority w:val="34"/>
    <w:rPr>
      <w:kern w:val="2"/>
      <w:sz w:val="21"/>
      <w:szCs w:val="24"/>
    </w:rPr>
  </w:style>
  <w:style w:type="paragraph" w:customStyle="1" w:styleId="98">
    <w:name w:val="z-窗体顶端1"/>
    <w:basedOn w:val="1"/>
    <w:link w:val="97"/>
    <w:autoRedefine/>
    <w:qFormat/>
    <w:uiPriority w:val="34"/>
    <w:pPr>
      <w:ind w:firstLine="420" w:firstLineChars="200"/>
    </w:pPr>
  </w:style>
  <w:style w:type="character" w:customStyle="1" w:styleId="99">
    <w:name w:val="正文文本 2 字符1"/>
    <w:autoRedefine/>
    <w:qFormat/>
    <w:uiPriority w:val="0"/>
    <w:rPr>
      <w:kern w:val="2"/>
      <w:sz w:val="21"/>
      <w:szCs w:val="24"/>
    </w:rPr>
  </w:style>
  <w:style w:type="character" w:customStyle="1" w:styleId="100">
    <w:name w:val="l-btn-icon-left"/>
    <w:autoRedefine/>
    <w:qFormat/>
    <w:uiPriority w:val="0"/>
  </w:style>
  <w:style w:type="character" w:customStyle="1" w:styleId="101">
    <w:name w:val="未处理的提及1"/>
    <w:autoRedefine/>
    <w:unhideWhenUsed/>
    <w:qFormat/>
    <w:uiPriority w:val="99"/>
    <w:rPr>
      <w:color w:val="605E5C"/>
      <w:shd w:val="clear" w:color="auto" w:fill="E1DFDD"/>
    </w:rPr>
  </w:style>
  <w:style w:type="character" w:customStyle="1" w:styleId="102">
    <w:name w:val="apple-converted-space"/>
    <w:autoRedefine/>
    <w:qFormat/>
    <w:uiPriority w:val="0"/>
  </w:style>
  <w:style w:type="character" w:customStyle="1" w:styleId="103">
    <w:name w:val="text91"/>
    <w:autoRedefine/>
    <w:qFormat/>
    <w:uiPriority w:val="0"/>
    <w:rPr>
      <w:sz w:val="18"/>
      <w:szCs w:val="18"/>
      <w:u w:val="none"/>
    </w:rPr>
  </w:style>
  <w:style w:type="character" w:customStyle="1" w:styleId="104">
    <w:name w:val="正文缩进 Char Char1"/>
    <w:autoRedefine/>
    <w:qFormat/>
    <w:uiPriority w:val="0"/>
    <w:rPr>
      <w:rFonts w:ascii="Courier New" w:eastAsia="Courier New"/>
      <w:sz w:val="34"/>
      <w:lang w:val="en-US" w:eastAsia="zh-CN" w:bidi="ar-SA"/>
    </w:rPr>
  </w:style>
  <w:style w:type="character" w:customStyle="1" w:styleId="105">
    <w:name w:val="l-btn-left2"/>
    <w:autoRedefine/>
    <w:qFormat/>
    <w:uiPriority w:val="0"/>
  </w:style>
  <w:style w:type="character" w:customStyle="1" w:styleId="106">
    <w:name w:val="fontp1"/>
    <w:autoRedefine/>
    <w:qFormat/>
    <w:uiPriority w:val="0"/>
    <w:rPr>
      <w:rFonts w:hint="eastAsia" w:ascii="Courier New" w:hAnsi="Courier New" w:eastAsia="Courier New"/>
      <w:sz w:val="18"/>
      <w:szCs w:val="18"/>
    </w:rPr>
  </w:style>
  <w:style w:type="character" w:customStyle="1" w:styleId="107">
    <w:name w:val="纯文本 Char2"/>
    <w:autoRedefine/>
    <w:qFormat/>
    <w:locked/>
    <w:uiPriority w:val="0"/>
    <w:rPr>
      <w:rFonts w:ascii="Cambria Math" w:hAnsi="仿宋_GB2312" w:eastAsia="Cambria Math" w:cs="仿宋_GB2312"/>
      <w:sz w:val="21"/>
      <w:szCs w:val="21"/>
    </w:rPr>
  </w:style>
  <w:style w:type="character" w:customStyle="1" w:styleId="108">
    <w:name w:val="font91"/>
    <w:autoRedefine/>
    <w:qFormat/>
    <w:uiPriority w:val="0"/>
    <w:rPr>
      <w:rFonts w:hint="eastAsia" w:ascii="宋体" w:hAnsi="宋体" w:eastAsia="宋体" w:cs="宋体"/>
      <w:color w:val="000000"/>
      <w:sz w:val="24"/>
      <w:szCs w:val="24"/>
      <w:u w:val="none"/>
    </w:rPr>
  </w:style>
  <w:style w:type="character" w:customStyle="1" w:styleId="109">
    <w:name w:val="纯文本 字符"/>
    <w:autoRedefine/>
    <w:qFormat/>
    <w:uiPriority w:val="0"/>
    <w:rPr>
      <w:rFonts w:ascii="Courier New" w:hAnsi="等线 Light" w:cs="等线 Light"/>
      <w:kern w:val="2"/>
      <w:sz w:val="21"/>
      <w:szCs w:val="21"/>
    </w:rPr>
  </w:style>
  <w:style w:type="character" w:customStyle="1" w:styleId="110">
    <w:name w:val="正文模版 Char Char"/>
    <w:link w:val="111"/>
    <w:autoRedefine/>
    <w:qFormat/>
    <w:uiPriority w:val="0"/>
    <w:rPr>
      <w:sz w:val="24"/>
    </w:rPr>
  </w:style>
  <w:style w:type="paragraph" w:customStyle="1" w:styleId="111">
    <w:name w:val="正文模版"/>
    <w:basedOn w:val="1"/>
    <w:link w:val="110"/>
    <w:autoRedefine/>
    <w:qFormat/>
    <w:uiPriority w:val="0"/>
    <w:pPr>
      <w:ind w:firstLine="480" w:firstLineChars="200"/>
    </w:pPr>
    <w:rPr>
      <w:kern w:val="0"/>
      <w:sz w:val="24"/>
      <w:szCs w:val="20"/>
    </w:rPr>
  </w:style>
  <w:style w:type="character" w:customStyle="1" w:styleId="112">
    <w:name w:val="font21"/>
    <w:autoRedefine/>
    <w:qFormat/>
    <w:uiPriority w:val="0"/>
    <w:rPr>
      <w:rFonts w:hint="eastAsia" w:ascii="宋体" w:hAnsi="宋体" w:eastAsia="宋体" w:cs="宋体"/>
      <w:color w:val="000000"/>
      <w:sz w:val="24"/>
      <w:szCs w:val="24"/>
      <w:u w:val="none"/>
    </w:rPr>
  </w:style>
  <w:style w:type="character" w:customStyle="1" w:styleId="113">
    <w:name w:val="z-窗体顶端 Char"/>
    <w:link w:val="114"/>
    <w:autoRedefine/>
    <w:qFormat/>
    <w:uiPriority w:val="34"/>
    <w:rPr>
      <w:rFonts w:ascii="Times New Roman" w:hAnsi="Times New Roman" w:eastAsia="宋体" w:cs="Times New Roman"/>
      <w:kern w:val="2"/>
      <w:sz w:val="21"/>
      <w:szCs w:val="24"/>
    </w:rPr>
  </w:style>
  <w:style w:type="paragraph" w:customStyle="1" w:styleId="114">
    <w:name w:val="z-窗体顶端111"/>
    <w:basedOn w:val="1"/>
    <w:link w:val="113"/>
    <w:autoRedefine/>
    <w:qFormat/>
    <w:uiPriority w:val="34"/>
    <w:pPr>
      <w:tabs>
        <w:tab w:val="left" w:pos="1276"/>
      </w:tabs>
      <w:ind w:firstLine="420" w:firstLineChars="200"/>
    </w:pPr>
    <w:rPr>
      <w:rFonts w:ascii="Times New Roman" w:hAnsi="Times New Roman"/>
    </w:rPr>
  </w:style>
  <w:style w:type="character" w:customStyle="1" w:styleId="115">
    <w:name w:val="font41"/>
    <w:autoRedefine/>
    <w:qFormat/>
    <w:uiPriority w:val="0"/>
    <w:rPr>
      <w:rFonts w:hint="default" w:ascii="Calibri" w:hAnsi="Calibri" w:cs="Calibri"/>
      <w:color w:val="000000"/>
      <w:sz w:val="24"/>
      <w:szCs w:val="24"/>
      <w:u w:val="none"/>
    </w:rPr>
  </w:style>
  <w:style w:type="character" w:customStyle="1" w:styleId="116">
    <w:name w:val="纯文本 Char1"/>
    <w:autoRedefine/>
    <w:qFormat/>
    <w:uiPriority w:val="0"/>
    <w:rPr>
      <w:rFonts w:ascii="Courier New" w:hAnsi="等线 Light" w:eastAsia="Courier New" w:cs="等线 Light"/>
      <w:kern w:val="2"/>
      <w:sz w:val="21"/>
      <w:szCs w:val="21"/>
      <w:lang w:val="en-US" w:eastAsia="zh-CN" w:bidi="ar-SA"/>
    </w:rPr>
  </w:style>
  <w:style w:type="character" w:customStyle="1" w:styleId="117">
    <w:name w:val="font71"/>
    <w:autoRedefine/>
    <w:qFormat/>
    <w:uiPriority w:val="0"/>
    <w:rPr>
      <w:rFonts w:hint="eastAsia" w:ascii="宋体" w:hAnsi="宋体" w:eastAsia="宋体" w:cs="宋体"/>
      <w:color w:val="000000"/>
      <w:sz w:val="24"/>
      <w:szCs w:val="24"/>
      <w:u w:val="none"/>
    </w:rPr>
  </w:style>
  <w:style w:type="character" w:customStyle="1" w:styleId="118">
    <w:name w:val="font31"/>
    <w:autoRedefine/>
    <w:qFormat/>
    <w:uiPriority w:val="0"/>
    <w:rPr>
      <w:rFonts w:hint="eastAsia" w:ascii="宋体" w:hAnsi="宋体" w:eastAsia="宋体" w:cs="宋体"/>
      <w:color w:val="000000"/>
      <w:sz w:val="22"/>
      <w:szCs w:val="22"/>
      <w:u w:val="none"/>
    </w:rPr>
  </w:style>
  <w:style w:type="character" w:customStyle="1" w:styleId="119">
    <w:name w:val="font121"/>
    <w:autoRedefine/>
    <w:qFormat/>
    <w:uiPriority w:val="0"/>
    <w:rPr>
      <w:rFonts w:hint="default" w:ascii="Calibri" w:hAnsi="Calibri" w:cs="Calibri"/>
      <w:color w:val="000000"/>
      <w:sz w:val="24"/>
      <w:szCs w:val="24"/>
      <w:u w:val="none"/>
    </w:rPr>
  </w:style>
  <w:style w:type="character" w:customStyle="1" w:styleId="120">
    <w:name w:val="标题 2 Char"/>
    <w:autoRedefine/>
    <w:qFormat/>
    <w:uiPriority w:val="0"/>
    <w:rPr>
      <w:rFonts w:ascii="Wingdings" w:hAnsi="Wingdings" w:eastAsia="文鼎CS中黑"/>
      <w:b/>
      <w:bCs/>
      <w:kern w:val="2"/>
      <w:sz w:val="32"/>
      <w:szCs w:val="32"/>
      <w:lang w:val="en-US" w:eastAsia="zh-CN" w:bidi="ar-SA"/>
    </w:rPr>
  </w:style>
  <w:style w:type="character" w:customStyle="1" w:styleId="121">
    <w:name w:val="l-btn-empty"/>
    <w:autoRedefine/>
    <w:qFormat/>
    <w:uiPriority w:val="0"/>
  </w:style>
  <w:style w:type="character" w:customStyle="1" w:styleId="122">
    <w:name w:val="批注文字 Char"/>
    <w:autoRedefine/>
    <w:qFormat/>
    <w:uiPriority w:val="99"/>
    <w:rPr>
      <w:kern w:val="2"/>
      <w:sz w:val="21"/>
      <w:szCs w:val="24"/>
    </w:rPr>
  </w:style>
  <w:style w:type="character" w:customStyle="1" w:styleId="123">
    <w:name w:val="列出段落 Char"/>
    <w:link w:val="124"/>
    <w:autoRedefine/>
    <w:qFormat/>
    <w:uiPriority w:val="34"/>
    <w:rPr>
      <w:rFonts w:ascii="Calibri" w:hAnsi="Calibri" w:eastAsia="宋体" w:cs="Times New Roman"/>
      <w:kern w:val="1"/>
      <w:sz w:val="21"/>
      <w:szCs w:val="22"/>
      <w:lang w:eastAsia="ar-SA"/>
    </w:rPr>
  </w:style>
  <w:style w:type="paragraph" w:customStyle="1" w:styleId="124">
    <w:name w:val="列出段落1"/>
    <w:basedOn w:val="1"/>
    <w:link w:val="123"/>
    <w:autoRedefine/>
    <w:qFormat/>
    <w:uiPriority w:val="34"/>
    <w:pPr>
      <w:tabs>
        <w:tab w:val="left" w:pos="1276"/>
      </w:tabs>
      <w:suppressAutoHyphens/>
      <w:ind w:firstLine="420" w:firstLineChars="200"/>
    </w:pPr>
    <w:rPr>
      <w:kern w:val="1"/>
      <w:szCs w:val="22"/>
      <w:lang w:eastAsia="ar-SA"/>
    </w:rPr>
  </w:style>
  <w:style w:type="character" w:customStyle="1" w:styleId="125">
    <w:name w:val="font01"/>
    <w:autoRedefine/>
    <w:qFormat/>
    <w:uiPriority w:val="0"/>
    <w:rPr>
      <w:rFonts w:ascii="Calibri" w:hAnsi="Calibri" w:cs="Calibri"/>
      <w:color w:val="000000"/>
      <w:sz w:val="21"/>
      <w:szCs w:val="21"/>
      <w:u w:val="none"/>
    </w:rPr>
  </w:style>
  <w:style w:type="character" w:customStyle="1" w:styleId="126">
    <w:name w:val="arrow"/>
    <w:autoRedefine/>
    <w:qFormat/>
    <w:uiPriority w:val="0"/>
  </w:style>
  <w:style w:type="character" w:customStyle="1" w:styleId="127">
    <w:name w:val="l-btn-left"/>
    <w:autoRedefine/>
    <w:qFormat/>
    <w:uiPriority w:val="0"/>
    <w:rPr>
      <w:color w:val="333333"/>
    </w:rPr>
  </w:style>
  <w:style w:type="character" w:customStyle="1" w:styleId="128">
    <w:name w:val="列出段落 Char1"/>
    <w:link w:val="129"/>
    <w:autoRedefine/>
    <w:qFormat/>
    <w:uiPriority w:val="1"/>
    <w:rPr>
      <w:rFonts w:ascii="华文中宋" w:hAnsi="华文中宋"/>
      <w:kern w:val="1"/>
      <w:sz w:val="21"/>
      <w:szCs w:val="22"/>
      <w:lang w:eastAsia="ar-SA"/>
    </w:rPr>
  </w:style>
  <w:style w:type="paragraph" w:styleId="129">
    <w:name w:val="List Paragraph"/>
    <w:basedOn w:val="1"/>
    <w:link w:val="128"/>
    <w:autoRedefine/>
    <w:qFormat/>
    <w:uiPriority w:val="34"/>
    <w:pPr>
      <w:suppressAutoHyphens/>
      <w:ind w:firstLine="420"/>
    </w:pPr>
    <w:rPr>
      <w:rFonts w:ascii="华文中宋" w:hAnsi="华文中宋"/>
      <w:kern w:val="1"/>
      <w:szCs w:val="22"/>
      <w:lang w:eastAsia="ar-SA"/>
    </w:rPr>
  </w:style>
  <w:style w:type="character" w:customStyle="1" w:styleId="130">
    <w:name w:val="l-btn-left3"/>
    <w:autoRedefine/>
    <w:qFormat/>
    <w:uiPriority w:val="0"/>
  </w:style>
  <w:style w:type="character" w:customStyle="1" w:styleId="131">
    <w:name w:val="页脚 字符"/>
    <w:autoRedefine/>
    <w:qFormat/>
    <w:uiPriority w:val="99"/>
    <w:rPr>
      <w:rFonts w:ascii="华文中宋" w:hAnsi="华文中宋" w:eastAsia="Courier New" w:cs="宋体"/>
      <w:kern w:val="2"/>
      <w:sz w:val="18"/>
      <w:szCs w:val="18"/>
    </w:rPr>
  </w:style>
  <w:style w:type="character" w:customStyle="1" w:styleId="132">
    <w:name w:val="font61"/>
    <w:autoRedefine/>
    <w:qFormat/>
    <w:uiPriority w:val="0"/>
    <w:rPr>
      <w:rFonts w:hint="default" w:ascii="Calibri" w:hAnsi="Calibri" w:cs="Calibri"/>
      <w:color w:val="000000"/>
      <w:sz w:val="22"/>
      <w:szCs w:val="22"/>
      <w:u w:val="none"/>
    </w:rPr>
  </w:style>
  <w:style w:type="paragraph" w:customStyle="1" w:styleId="133">
    <w:name w:val="xl81"/>
    <w:basedOn w:val="1"/>
    <w:autoRedefine/>
    <w:qFormat/>
    <w:uiPriority w:val="0"/>
    <w:pPr>
      <w:shd w:val="clear" w:color="000000" w:fill="FFFFFF"/>
      <w:spacing w:before="100" w:beforeAutospacing="1" w:after="100" w:afterAutospacing="1"/>
      <w:jc w:val="left"/>
    </w:pPr>
    <w:rPr>
      <w:rFonts w:ascii="宋体" w:hAnsi="宋体" w:cs="宋体"/>
      <w:kern w:val="0"/>
      <w:sz w:val="24"/>
    </w:rPr>
  </w:style>
  <w:style w:type="paragraph" w:customStyle="1" w:styleId="134">
    <w:name w:val="xl172"/>
    <w:basedOn w:val="1"/>
    <w:autoRedefine/>
    <w:qFormat/>
    <w:uiPriority w:val="0"/>
    <w:pPr>
      <w:pBdr>
        <w:top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35">
    <w:name w:val="xl12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36">
    <w:name w:val="xl175"/>
    <w:basedOn w:val="1"/>
    <w:autoRedefine/>
    <w:qFormat/>
    <w:uiPriority w:val="0"/>
    <w:pPr>
      <w:pBdr>
        <w:top w:val="single" w:color="000000" w:sz="4" w:space="0"/>
        <w:left w:val="single" w:color="000000" w:sz="4" w:space="0"/>
        <w:right w:val="single" w:color="000000" w:sz="4" w:space="0"/>
      </w:pBdr>
      <w:spacing w:before="100" w:beforeAutospacing="1" w:after="100" w:afterAutospacing="1"/>
      <w:jc w:val="left"/>
    </w:pPr>
    <w:rPr>
      <w:rFonts w:cs="Courier New"/>
      <w:kern w:val="0"/>
      <w:sz w:val="22"/>
      <w:szCs w:val="22"/>
    </w:rPr>
  </w:style>
  <w:style w:type="paragraph" w:customStyle="1" w:styleId="137">
    <w:name w:val="xl82"/>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color w:val="000000"/>
      <w:kern w:val="0"/>
      <w:sz w:val="18"/>
      <w:szCs w:val="18"/>
    </w:rPr>
  </w:style>
  <w:style w:type="paragraph" w:customStyle="1" w:styleId="138">
    <w:name w:val="前言正文"/>
    <w:autoRedefine/>
    <w:qFormat/>
    <w:uiPriority w:val="0"/>
    <w:pPr>
      <w:spacing w:before="120" w:line="360" w:lineRule="auto"/>
      <w:ind w:firstLine="425"/>
      <w:jc w:val="both"/>
    </w:pPr>
    <w:rPr>
      <w:rFonts w:ascii="Courier New" w:hAnsi="Courier New" w:eastAsia="SimSun-Identity-H" w:cs="Times New Roman"/>
      <w:kern w:val="2"/>
      <w:sz w:val="24"/>
      <w:szCs w:val="22"/>
      <w:lang w:val="en-US" w:eastAsia="zh-CN" w:bidi="ar-SA"/>
    </w:rPr>
  </w:style>
  <w:style w:type="paragraph" w:customStyle="1" w:styleId="139">
    <w:name w:val="默认段落字体 Para Char"/>
    <w:basedOn w:val="1"/>
    <w:autoRedefine/>
    <w:qFormat/>
    <w:uiPriority w:val="0"/>
    <w:rPr>
      <w:b/>
      <w:sz w:val="28"/>
      <w:szCs w:val="28"/>
    </w:rPr>
  </w:style>
  <w:style w:type="paragraph" w:customStyle="1" w:styleId="140">
    <w:name w:val="xl12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41">
    <w:name w:val="Char Char Char Char"/>
    <w:basedOn w:val="1"/>
    <w:autoRedefine/>
    <w:qFormat/>
    <w:uiPriority w:val="0"/>
    <w:pPr>
      <w:spacing w:after="160" w:line="240" w:lineRule="exact"/>
      <w:jc w:val="left"/>
    </w:pPr>
    <w:rPr>
      <w:kern w:val="0"/>
      <w:sz w:val="20"/>
      <w:szCs w:val="20"/>
      <w:lang w:eastAsia="en-US"/>
    </w:rPr>
  </w:style>
  <w:style w:type="paragraph" w:customStyle="1" w:styleId="142">
    <w:name w:val="网格 居中"/>
    <w:basedOn w:val="1"/>
    <w:autoRedefine/>
    <w:qFormat/>
    <w:uiPriority w:val="0"/>
    <w:pPr>
      <w:jc w:val="center"/>
    </w:pPr>
    <w:rPr>
      <w:szCs w:val="20"/>
    </w:rPr>
  </w:style>
  <w:style w:type="paragraph" w:customStyle="1" w:styleId="143">
    <w:name w:val="xl161"/>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cs="Courier New"/>
      <w:kern w:val="0"/>
      <w:sz w:val="22"/>
      <w:szCs w:val="22"/>
    </w:rPr>
  </w:style>
  <w:style w:type="paragraph" w:customStyle="1" w:styleId="144">
    <w:name w:val="xl13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145">
    <w:name w:val="前言目录"/>
    <w:next w:val="138"/>
    <w:autoRedefine/>
    <w:qFormat/>
    <w:uiPriority w:val="0"/>
    <w:pPr>
      <w:spacing w:before="480" w:after="240" w:line="480" w:lineRule="auto"/>
      <w:jc w:val="center"/>
    </w:pPr>
    <w:rPr>
      <w:rFonts w:ascii="Courier New" w:hAnsi="Courier New" w:eastAsia="文鼎CS中黑" w:cs="Times New Roman"/>
      <w:b/>
      <w:kern w:val="2"/>
      <w:sz w:val="44"/>
      <w:szCs w:val="22"/>
      <w:lang w:val="en-US" w:eastAsia="zh-CN" w:bidi="ar-SA"/>
    </w:rPr>
  </w:style>
  <w:style w:type="paragraph" w:customStyle="1" w:styleId="146">
    <w:name w:val="正文_0"/>
    <w:autoRedefine/>
    <w:qFormat/>
    <w:uiPriority w:val="0"/>
    <w:pPr>
      <w:widowControl w:val="0"/>
      <w:spacing w:line="360" w:lineRule="auto"/>
      <w:jc w:val="both"/>
    </w:pPr>
    <w:rPr>
      <w:rFonts w:ascii="Courier New" w:hAnsi="Courier New" w:eastAsia="宋体" w:cs="Times New Roman"/>
      <w:kern w:val="2"/>
      <w:sz w:val="21"/>
      <w:szCs w:val="24"/>
      <w:lang w:val="en-US" w:eastAsia="zh-CN" w:bidi="ar-SA"/>
    </w:rPr>
  </w:style>
  <w:style w:type="paragraph" w:customStyle="1" w:styleId="147">
    <w:name w:val="xl78"/>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148">
    <w:name w:val="xl195"/>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49">
    <w:name w:val="xl14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50">
    <w:name w:val="xl145"/>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kern w:val="0"/>
      <w:sz w:val="23"/>
      <w:szCs w:val="23"/>
    </w:rPr>
  </w:style>
  <w:style w:type="paragraph" w:customStyle="1" w:styleId="151">
    <w:name w:val="xl10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152">
    <w:name w:val="xl89"/>
    <w:basedOn w:val="1"/>
    <w:autoRedefine/>
    <w:qFormat/>
    <w:uiPriority w:val="0"/>
    <w:pPr>
      <w:spacing w:before="100" w:beforeAutospacing="1" w:after="100" w:afterAutospacing="1"/>
      <w:jc w:val="center"/>
    </w:pPr>
    <w:rPr>
      <w:rFonts w:cs="Courier New"/>
      <w:kern w:val="0"/>
      <w:sz w:val="23"/>
      <w:szCs w:val="23"/>
    </w:rPr>
  </w:style>
  <w:style w:type="paragraph" w:customStyle="1" w:styleId="153">
    <w:name w:val="EHPT"/>
    <w:basedOn w:val="1"/>
    <w:next w:val="21"/>
    <w:autoRedefine/>
    <w:qFormat/>
    <w:uiPriority w:val="0"/>
    <w:pPr>
      <w:ind w:right="-694"/>
    </w:pPr>
    <w:rPr>
      <w:sz w:val="24"/>
      <w:szCs w:val="20"/>
    </w:rPr>
  </w:style>
  <w:style w:type="paragraph" w:customStyle="1" w:styleId="154">
    <w:name w:val="xl12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55">
    <w:name w:val="xl114"/>
    <w:basedOn w:val="1"/>
    <w:autoRedefine/>
    <w:qFormat/>
    <w:uiPriority w:val="0"/>
    <w:pPr>
      <w:pBdr>
        <w:top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156">
    <w:name w:val="纯文本1"/>
    <w:basedOn w:val="1"/>
    <w:autoRedefine/>
    <w:qFormat/>
    <w:uiPriority w:val="0"/>
    <w:pPr>
      <w:suppressAutoHyphens/>
    </w:pPr>
    <w:rPr>
      <w:kern w:val="1"/>
      <w:szCs w:val="20"/>
      <w:lang w:eastAsia="ar-SA"/>
    </w:rPr>
  </w:style>
  <w:style w:type="paragraph" w:customStyle="1" w:styleId="157">
    <w:name w:val="font5"/>
    <w:basedOn w:val="1"/>
    <w:autoRedefine/>
    <w:qFormat/>
    <w:uiPriority w:val="0"/>
    <w:pPr>
      <w:spacing w:before="100" w:beforeAutospacing="1" w:after="100" w:afterAutospacing="1"/>
      <w:jc w:val="left"/>
    </w:pPr>
    <w:rPr>
      <w:rFonts w:cs="Courier New"/>
      <w:kern w:val="0"/>
      <w:sz w:val="23"/>
      <w:szCs w:val="23"/>
    </w:rPr>
  </w:style>
  <w:style w:type="paragraph" w:customStyle="1" w:styleId="158">
    <w:name w:val="xl80"/>
    <w:basedOn w:val="1"/>
    <w:autoRedefine/>
    <w:qFormat/>
    <w:uiPriority w:val="0"/>
    <w:pPr>
      <w:shd w:val="clear" w:color="000000" w:fill="FFFFFF"/>
      <w:spacing w:before="100" w:beforeAutospacing="1" w:after="100" w:afterAutospacing="1"/>
      <w:jc w:val="center"/>
    </w:pPr>
    <w:rPr>
      <w:rFonts w:ascii="宋体" w:hAnsi="宋体" w:cs="宋体"/>
      <w:kern w:val="0"/>
      <w:sz w:val="22"/>
      <w:szCs w:val="22"/>
    </w:rPr>
  </w:style>
  <w:style w:type="paragraph" w:customStyle="1" w:styleId="159">
    <w:name w:val="xl19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60">
    <w:name w:val="xl179"/>
    <w:basedOn w:val="1"/>
    <w:autoRedefine/>
    <w:qFormat/>
    <w:uiPriority w:val="0"/>
    <w:pPr>
      <w:pBdr>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161">
    <w:name w:val="普通 (Web)"/>
    <w:basedOn w:val="1"/>
    <w:autoRedefine/>
    <w:qFormat/>
    <w:uiPriority w:val="0"/>
    <w:pPr>
      <w:spacing w:before="100" w:beforeAutospacing="1" w:after="100" w:afterAutospacing="1"/>
      <w:jc w:val="left"/>
    </w:pPr>
    <w:rPr>
      <w:kern w:val="0"/>
      <w:sz w:val="24"/>
      <w:szCs w:val="20"/>
    </w:rPr>
  </w:style>
  <w:style w:type="paragraph" w:customStyle="1" w:styleId="162">
    <w:name w:val="xl90"/>
    <w:basedOn w:val="1"/>
    <w:autoRedefine/>
    <w:qFormat/>
    <w:uiPriority w:val="0"/>
    <w:pPr>
      <w:spacing w:before="100" w:beforeAutospacing="1" w:after="100" w:afterAutospacing="1"/>
      <w:jc w:val="left"/>
    </w:pPr>
    <w:rPr>
      <w:rFonts w:cs="Courier New"/>
      <w:b/>
      <w:bCs/>
      <w:kern w:val="0"/>
      <w:sz w:val="23"/>
      <w:szCs w:val="23"/>
    </w:rPr>
  </w:style>
  <w:style w:type="paragraph" w:customStyle="1" w:styleId="163">
    <w:name w:val="Char Char13"/>
    <w:basedOn w:val="1"/>
    <w:autoRedefine/>
    <w:qFormat/>
    <w:uiPriority w:val="0"/>
    <w:pPr>
      <w:spacing w:after="160" w:line="240" w:lineRule="exact"/>
      <w:jc w:val="left"/>
    </w:pPr>
    <w:rPr>
      <w:rFonts w:eastAsia="SimSun-Identity-H"/>
      <w:kern w:val="0"/>
      <w:sz w:val="24"/>
      <w:szCs w:val="20"/>
      <w:lang w:eastAsia="en-US"/>
    </w:rPr>
  </w:style>
  <w:style w:type="paragraph" w:customStyle="1" w:styleId="164">
    <w:name w:val="xl19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3"/>
      <w:szCs w:val="23"/>
    </w:rPr>
  </w:style>
  <w:style w:type="paragraph" w:customStyle="1" w:styleId="165">
    <w:name w:val="xl88"/>
    <w:basedOn w:val="1"/>
    <w:autoRedefine/>
    <w:qFormat/>
    <w:uiPriority w:val="0"/>
    <w:pPr>
      <w:spacing w:before="100" w:beforeAutospacing="1" w:after="100" w:afterAutospacing="1"/>
      <w:jc w:val="left"/>
    </w:pPr>
    <w:rPr>
      <w:rFonts w:cs="Courier New"/>
      <w:kern w:val="0"/>
      <w:sz w:val="23"/>
      <w:szCs w:val="23"/>
    </w:rPr>
  </w:style>
  <w:style w:type="paragraph" w:customStyle="1" w:styleId="166">
    <w:name w:val="xl12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67">
    <w:name w:val="_Style 207"/>
    <w:basedOn w:val="1"/>
    <w:next w:val="129"/>
    <w:autoRedefine/>
    <w:qFormat/>
    <w:uiPriority w:val="34"/>
    <w:pPr>
      <w:suppressAutoHyphens/>
      <w:ind w:firstLine="420"/>
    </w:pPr>
    <w:rPr>
      <w:rFonts w:ascii="华文中宋" w:hAnsi="华文中宋"/>
      <w:kern w:val="1"/>
      <w:szCs w:val="22"/>
      <w:lang w:eastAsia="ar-SA"/>
    </w:rPr>
  </w:style>
  <w:style w:type="paragraph" w:customStyle="1" w:styleId="168">
    <w:name w:val="Char Char Char"/>
    <w:basedOn w:val="1"/>
    <w:autoRedefine/>
    <w:qFormat/>
    <w:uiPriority w:val="0"/>
    <w:rPr>
      <w:rFonts w:ascii="仿宋" w:hAnsi="仿宋"/>
      <w:sz w:val="24"/>
      <w:szCs w:val="20"/>
    </w:rPr>
  </w:style>
  <w:style w:type="paragraph" w:customStyle="1" w:styleId="169">
    <w:name w:val="xl19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170">
    <w:name w:val="xl102"/>
    <w:basedOn w:val="1"/>
    <w:autoRedefine/>
    <w:qFormat/>
    <w:uiPriority w:val="0"/>
    <w:pPr>
      <w:spacing w:before="100" w:beforeAutospacing="1" w:after="100" w:afterAutospacing="1"/>
      <w:jc w:val="center"/>
    </w:pPr>
    <w:rPr>
      <w:rFonts w:cs="Courier New"/>
      <w:b/>
      <w:bCs/>
      <w:color w:val="FF0000"/>
      <w:kern w:val="0"/>
      <w:sz w:val="22"/>
      <w:szCs w:val="22"/>
    </w:rPr>
  </w:style>
  <w:style w:type="paragraph" w:customStyle="1" w:styleId="171">
    <w:name w:val="xl12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72">
    <w:name w:val="Char Char Char11"/>
    <w:basedOn w:val="1"/>
    <w:autoRedefine/>
    <w:qFormat/>
    <w:uiPriority w:val="0"/>
    <w:pPr>
      <w:spacing w:after="160" w:line="240" w:lineRule="exact"/>
      <w:jc w:val="left"/>
    </w:pPr>
    <w:rPr>
      <w:szCs w:val="20"/>
    </w:rPr>
  </w:style>
  <w:style w:type="paragraph" w:customStyle="1" w:styleId="173">
    <w:name w:val="xl132"/>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cs="Courier New"/>
      <w:kern w:val="0"/>
      <w:sz w:val="23"/>
      <w:szCs w:val="23"/>
    </w:rPr>
  </w:style>
  <w:style w:type="paragraph" w:customStyle="1" w:styleId="174">
    <w:name w:val="表格内容"/>
    <w:basedOn w:val="1"/>
    <w:autoRedefine/>
    <w:qFormat/>
    <w:uiPriority w:val="0"/>
    <w:pPr>
      <w:adjustRightInd w:val="0"/>
      <w:jc w:val="left"/>
    </w:pPr>
  </w:style>
  <w:style w:type="paragraph" w:customStyle="1" w:styleId="175">
    <w:name w:val="修订1"/>
    <w:autoRedefine/>
    <w:unhideWhenUsed/>
    <w:qFormat/>
    <w:uiPriority w:val="99"/>
    <w:pPr>
      <w:spacing w:line="360" w:lineRule="auto"/>
      <w:jc w:val="both"/>
    </w:pPr>
    <w:rPr>
      <w:rFonts w:ascii="Courier New" w:hAnsi="Courier New" w:eastAsia="宋体" w:cs="Times New Roman"/>
      <w:kern w:val="2"/>
      <w:sz w:val="21"/>
      <w:szCs w:val="24"/>
      <w:lang w:val="en-US" w:eastAsia="zh-CN" w:bidi="ar-SA"/>
    </w:rPr>
  </w:style>
  <w:style w:type="paragraph" w:customStyle="1" w:styleId="176">
    <w:name w:val="xl15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77">
    <w:name w:val="Char Char Char Char Char Char Char Char Char Char Char Char1 Char"/>
    <w:basedOn w:val="17"/>
    <w:autoRedefine/>
    <w:qFormat/>
    <w:uiPriority w:val="0"/>
  </w:style>
  <w:style w:type="paragraph" w:customStyle="1" w:styleId="178">
    <w:name w:val="xl176"/>
    <w:basedOn w:val="1"/>
    <w:autoRedefine/>
    <w:qFormat/>
    <w:uiPriority w:val="0"/>
    <w:pPr>
      <w:pBdr>
        <w:top w:val="single" w:color="000000" w:sz="4" w:space="0"/>
        <w:left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179">
    <w:name w:val="正文标号1"/>
    <w:basedOn w:val="1"/>
    <w:autoRedefine/>
    <w:qFormat/>
    <w:uiPriority w:val="0"/>
    <w:rPr>
      <w:sz w:val="24"/>
      <w:lang w:val="en-GB"/>
    </w:rPr>
  </w:style>
  <w:style w:type="paragraph" w:customStyle="1" w:styleId="180">
    <w:name w:val="正文 A"/>
    <w:autoRedefine/>
    <w:qFormat/>
    <w:uiPriority w:val="0"/>
    <w:pPr>
      <w:widowControl w:val="0"/>
      <w:spacing w:line="360" w:lineRule="auto"/>
      <w:jc w:val="both"/>
    </w:pPr>
    <w:rPr>
      <w:rFonts w:ascii="Courier New" w:hAnsi="Arial Unicode MS" w:eastAsia="宋体" w:cs="Arial Unicode MS"/>
      <w:color w:val="000000"/>
      <w:kern w:val="2"/>
      <w:sz w:val="21"/>
      <w:szCs w:val="21"/>
      <w:u w:color="000000"/>
      <w:lang w:val="en-US" w:eastAsia="zh-CN" w:bidi="ar-SA"/>
    </w:rPr>
  </w:style>
  <w:style w:type="paragraph" w:customStyle="1" w:styleId="181">
    <w:name w:val="xl154"/>
    <w:basedOn w:val="1"/>
    <w:autoRedefine/>
    <w:qFormat/>
    <w:uiPriority w:val="0"/>
    <w:pPr>
      <w:pBdr>
        <w:top w:val="single" w:color="auto" w:sz="4" w:space="0"/>
        <w:left w:val="single" w:color="auto" w:sz="4" w:space="0"/>
      </w:pBdr>
      <w:spacing w:before="100" w:beforeAutospacing="1" w:after="100" w:afterAutospacing="1"/>
      <w:jc w:val="left"/>
    </w:pPr>
    <w:rPr>
      <w:rFonts w:cs="Courier New"/>
      <w:b/>
      <w:bCs/>
      <w:kern w:val="0"/>
      <w:sz w:val="23"/>
      <w:szCs w:val="23"/>
    </w:rPr>
  </w:style>
  <w:style w:type="paragraph" w:customStyle="1" w:styleId="182">
    <w:name w:val="xl97"/>
    <w:basedOn w:val="1"/>
    <w:autoRedefine/>
    <w:qFormat/>
    <w:uiPriority w:val="0"/>
    <w:pPr>
      <w:spacing w:before="100" w:beforeAutospacing="1" w:after="100" w:afterAutospacing="1"/>
      <w:jc w:val="left"/>
    </w:pPr>
    <w:rPr>
      <w:rFonts w:cs="Courier New"/>
      <w:kern w:val="0"/>
      <w:sz w:val="23"/>
      <w:szCs w:val="23"/>
    </w:rPr>
  </w:style>
  <w:style w:type="paragraph" w:customStyle="1" w:styleId="183">
    <w:name w:val="xl15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84">
    <w:name w:val="xl14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85">
    <w:name w:val="xl18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86">
    <w:name w:val="原点"/>
    <w:basedOn w:val="1"/>
    <w:autoRedefine/>
    <w:qFormat/>
    <w:uiPriority w:val="0"/>
    <w:pPr>
      <w:numPr>
        <w:ilvl w:val="0"/>
        <w:numId w:val="1"/>
      </w:numPr>
      <w:tabs>
        <w:tab w:val="left" w:pos="927"/>
      </w:tabs>
      <w:adjustRightInd w:val="0"/>
      <w:ind w:firstLine="200" w:firstLineChars="200"/>
    </w:pPr>
    <w:rPr>
      <w:sz w:val="32"/>
    </w:rPr>
  </w:style>
  <w:style w:type="paragraph" w:customStyle="1" w:styleId="187">
    <w:name w:val="xl142"/>
    <w:basedOn w:val="1"/>
    <w:autoRedefine/>
    <w:qFormat/>
    <w:uiPriority w:val="0"/>
    <w:pPr>
      <w:pBdr>
        <w:top w:val="single" w:color="auto" w:sz="4" w:space="0"/>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188">
    <w:name w:val="03表文"/>
    <w:basedOn w:val="1"/>
    <w:autoRedefine/>
    <w:qFormat/>
    <w:uiPriority w:val="0"/>
    <w:pPr>
      <w:jc w:val="center"/>
    </w:pPr>
  </w:style>
  <w:style w:type="paragraph" w:customStyle="1" w:styleId="189">
    <w:name w:val="msonormal"/>
    <w:basedOn w:val="1"/>
    <w:autoRedefine/>
    <w:qFormat/>
    <w:uiPriority w:val="0"/>
    <w:pPr>
      <w:spacing w:before="100" w:beforeAutospacing="1" w:after="100" w:afterAutospacing="1"/>
      <w:jc w:val="left"/>
    </w:pPr>
    <w:rPr>
      <w:rFonts w:ascii="宋体" w:hAnsi="宋体" w:cs="宋体"/>
      <w:kern w:val="0"/>
      <w:sz w:val="24"/>
    </w:rPr>
  </w:style>
  <w:style w:type="paragraph" w:customStyle="1" w:styleId="190">
    <w:name w:val="xl153"/>
    <w:basedOn w:val="1"/>
    <w:autoRedefine/>
    <w:qFormat/>
    <w:uiPriority w:val="0"/>
    <w:pPr>
      <w:pBdr>
        <w:top w:val="single" w:color="auto" w:sz="4" w:space="0"/>
        <w:left w:val="single" w:color="auto" w:sz="4" w:space="0"/>
      </w:pBdr>
      <w:spacing w:before="100" w:beforeAutospacing="1" w:after="100" w:afterAutospacing="1"/>
      <w:jc w:val="center"/>
    </w:pPr>
    <w:rPr>
      <w:rFonts w:cs="Courier New"/>
      <w:b/>
      <w:bCs/>
      <w:kern w:val="0"/>
      <w:sz w:val="23"/>
      <w:szCs w:val="23"/>
    </w:rPr>
  </w:style>
  <w:style w:type="paragraph" w:customStyle="1" w:styleId="191">
    <w:name w:val="xl157"/>
    <w:basedOn w:val="1"/>
    <w:autoRedefine/>
    <w:qFormat/>
    <w:uiPriority w:val="0"/>
    <w:pPr>
      <w:pBdr>
        <w:top w:val="single" w:color="auto" w:sz="4" w:space="0"/>
      </w:pBdr>
      <w:spacing w:before="100" w:beforeAutospacing="1" w:after="100" w:afterAutospacing="1"/>
      <w:jc w:val="left"/>
    </w:pPr>
    <w:rPr>
      <w:rFonts w:cs="Courier New"/>
      <w:b/>
      <w:bCs/>
      <w:kern w:val="0"/>
      <w:sz w:val="23"/>
      <w:szCs w:val="23"/>
    </w:rPr>
  </w:style>
  <w:style w:type="paragraph" w:customStyle="1" w:styleId="192">
    <w:name w:val="xl13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193">
    <w:name w:val="Char Char"/>
    <w:basedOn w:val="1"/>
    <w:autoRedefine/>
    <w:qFormat/>
    <w:uiPriority w:val="0"/>
    <w:pPr>
      <w:spacing w:after="160" w:line="240" w:lineRule="exact"/>
      <w:jc w:val="left"/>
    </w:pPr>
    <w:rPr>
      <w:rFonts w:eastAsia="SimSun-Identity-H"/>
      <w:kern w:val="0"/>
      <w:sz w:val="24"/>
      <w:szCs w:val="20"/>
      <w:lang w:eastAsia="en-US"/>
    </w:rPr>
  </w:style>
  <w:style w:type="paragraph" w:customStyle="1" w:styleId="194">
    <w:name w:val="xl163"/>
    <w:basedOn w:val="1"/>
    <w:autoRedefine/>
    <w:qFormat/>
    <w:uiPriority w:val="0"/>
    <w:pPr>
      <w:pBdr>
        <w:top w:val="single" w:color="000000" w:sz="4" w:space="0"/>
        <w:left w:val="single" w:color="000000" w:sz="4" w:space="0"/>
        <w:bottom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195">
    <w:name w:val="xl108"/>
    <w:basedOn w:val="1"/>
    <w:autoRedefine/>
    <w:qFormat/>
    <w:uiPriority w:val="0"/>
    <w:pPr>
      <w:pBdr>
        <w:left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196">
    <w:name w:val="xl87"/>
    <w:basedOn w:val="1"/>
    <w:autoRedefine/>
    <w:qFormat/>
    <w:uiPriority w:val="0"/>
    <w:pPr>
      <w:spacing w:before="100" w:beforeAutospacing="1" w:after="100" w:afterAutospacing="1"/>
      <w:jc w:val="left"/>
    </w:pPr>
    <w:rPr>
      <w:rFonts w:cs="Courier New"/>
      <w:kern w:val="0"/>
      <w:sz w:val="24"/>
    </w:rPr>
  </w:style>
  <w:style w:type="paragraph" w:customStyle="1" w:styleId="197">
    <w:name w:val="xl171"/>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b/>
      <w:bCs/>
      <w:color w:val="FF0000"/>
      <w:kern w:val="0"/>
      <w:sz w:val="23"/>
      <w:szCs w:val="23"/>
    </w:rPr>
  </w:style>
  <w:style w:type="paragraph" w:customStyle="1" w:styleId="198">
    <w:name w:val="WPSOffice手动目录 2"/>
    <w:autoRedefine/>
    <w:qFormat/>
    <w:uiPriority w:val="0"/>
    <w:pPr>
      <w:spacing w:line="360" w:lineRule="auto"/>
      <w:ind w:left="200" w:leftChars="200"/>
      <w:jc w:val="both"/>
    </w:pPr>
    <w:rPr>
      <w:rFonts w:ascii="Courier New" w:hAnsi="Courier New" w:eastAsia="宋体" w:cs="Times New Roman"/>
      <w:kern w:val="2"/>
      <w:sz w:val="21"/>
      <w:szCs w:val="24"/>
      <w:lang w:val="en-US" w:eastAsia="zh-CN" w:bidi="ar-SA"/>
    </w:rPr>
  </w:style>
  <w:style w:type="paragraph" w:customStyle="1" w:styleId="199">
    <w:name w:val="xl96"/>
    <w:basedOn w:val="1"/>
    <w:autoRedefine/>
    <w:qFormat/>
    <w:uiPriority w:val="0"/>
    <w:pPr>
      <w:spacing w:before="100" w:beforeAutospacing="1" w:after="100" w:afterAutospacing="1"/>
      <w:jc w:val="left"/>
    </w:pPr>
    <w:rPr>
      <w:rFonts w:cs="Courier New"/>
      <w:color w:val="000000"/>
      <w:kern w:val="0"/>
      <w:sz w:val="23"/>
      <w:szCs w:val="23"/>
    </w:rPr>
  </w:style>
  <w:style w:type="paragraph" w:customStyle="1" w:styleId="200">
    <w:name w:val="Normal1"/>
    <w:basedOn w:val="1"/>
    <w:autoRedefine/>
    <w:qFormat/>
    <w:uiPriority w:val="0"/>
    <w:pPr>
      <w:tabs>
        <w:tab w:val="left" w:pos="840"/>
      </w:tabs>
      <w:ind w:left="840" w:hanging="420"/>
    </w:pPr>
    <w:rPr>
      <w:rFonts w:eastAsia="@文鼎CS中黑"/>
      <w:kern w:val="0"/>
      <w:szCs w:val="21"/>
    </w:rPr>
  </w:style>
  <w:style w:type="paragraph" w:customStyle="1" w:styleId="201">
    <w:name w:val="xl25"/>
    <w:basedOn w:val="1"/>
    <w:autoRedefine/>
    <w:qFormat/>
    <w:uiPriority w:val="0"/>
    <w:pPr>
      <w:pBdr>
        <w:bottom w:val="single" w:color="auto" w:sz="4" w:space="0"/>
        <w:right w:val="single" w:color="auto" w:sz="4" w:space="0"/>
      </w:pBdr>
      <w:spacing w:before="100" w:beforeAutospacing="1" w:after="100" w:afterAutospacing="1"/>
      <w:jc w:val="center"/>
    </w:pPr>
    <w:rPr>
      <w:kern w:val="0"/>
      <w:szCs w:val="21"/>
    </w:rPr>
  </w:style>
  <w:style w:type="paragraph" w:customStyle="1" w:styleId="202">
    <w:name w:val="xl13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03">
    <w:name w:val="xl155"/>
    <w:basedOn w:val="1"/>
    <w:autoRedefine/>
    <w:qFormat/>
    <w:uiPriority w:val="0"/>
    <w:pPr>
      <w:pBdr>
        <w:top w:val="single" w:color="auto" w:sz="4" w:space="0"/>
      </w:pBdr>
      <w:spacing w:before="100" w:beforeAutospacing="1" w:after="100" w:afterAutospacing="1"/>
      <w:jc w:val="center"/>
    </w:pPr>
    <w:rPr>
      <w:rFonts w:cs="Courier New"/>
      <w:b/>
      <w:bCs/>
      <w:kern w:val="0"/>
      <w:sz w:val="23"/>
      <w:szCs w:val="23"/>
    </w:rPr>
  </w:style>
  <w:style w:type="paragraph" w:customStyle="1" w:styleId="204">
    <w:name w:val="xl11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05">
    <w:name w:val="xl19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06">
    <w:name w:val="xl107"/>
    <w:basedOn w:val="1"/>
    <w:autoRedefine/>
    <w:qFormat/>
    <w:uiPriority w:val="0"/>
    <w:pPr>
      <w:pBdr>
        <w:left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207">
    <w:name w:val="xl200"/>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08">
    <w:name w:val="xl170"/>
    <w:basedOn w:val="1"/>
    <w:autoRedefine/>
    <w:qFormat/>
    <w:uiPriority w:val="0"/>
    <w:pPr>
      <w:pBdr>
        <w:top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209">
    <w:name w:val="xl196"/>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10">
    <w:name w:val="xl174"/>
    <w:basedOn w:val="1"/>
    <w:autoRedefine/>
    <w:qFormat/>
    <w:uiPriority w:val="0"/>
    <w:pPr>
      <w:pBdr>
        <w:top w:val="single" w:color="000000" w:sz="4" w:space="0"/>
        <w:left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211">
    <w:name w:val="xl94"/>
    <w:basedOn w:val="1"/>
    <w:autoRedefine/>
    <w:qFormat/>
    <w:uiPriority w:val="0"/>
    <w:pPr>
      <w:spacing w:before="100" w:beforeAutospacing="1" w:after="100" w:afterAutospacing="1"/>
      <w:jc w:val="left"/>
    </w:pPr>
    <w:rPr>
      <w:rFonts w:cs="Courier New"/>
      <w:kern w:val="0"/>
      <w:sz w:val="23"/>
      <w:szCs w:val="23"/>
    </w:rPr>
  </w:style>
  <w:style w:type="paragraph" w:customStyle="1" w:styleId="212">
    <w:name w:val="xl141"/>
    <w:basedOn w:val="1"/>
    <w:autoRedefine/>
    <w:qFormat/>
    <w:uiPriority w:val="0"/>
    <w:pPr>
      <w:pBdr>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213">
    <w:name w:val="xl76"/>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214">
    <w:name w:val="xl109"/>
    <w:basedOn w:val="1"/>
    <w:autoRedefine/>
    <w:qFormat/>
    <w:uiPriority w:val="0"/>
    <w:pPr>
      <w:pBdr>
        <w:bottom w:val="single" w:color="auto" w:sz="4" w:space="0"/>
      </w:pBdr>
      <w:spacing w:before="100" w:beforeAutospacing="1" w:after="100" w:afterAutospacing="1"/>
      <w:jc w:val="center"/>
    </w:pPr>
    <w:rPr>
      <w:rFonts w:cs="Courier New"/>
      <w:b/>
      <w:bCs/>
      <w:kern w:val="0"/>
      <w:sz w:val="23"/>
      <w:szCs w:val="23"/>
    </w:rPr>
  </w:style>
  <w:style w:type="paragraph" w:customStyle="1" w:styleId="215">
    <w:name w:val="xl13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color w:val="000000"/>
      <w:kern w:val="0"/>
      <w:sz w:val="22"/>
      <w:szCs w:val="22"/>
    </w:rPr>
  </w:style>
  <w:style w:type="paragraph" w:customStyle="1" w:styleId="216">
    <w:name w:val="xl15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17">
    <w:name w:val="xl18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2"/>
      <w:szCs w:val="22"/>
    </w:rPr>
  </w:style>
  <w:style w:type="paragraph" w:customStyle="1" w:styleId="218">
    <w:name w:val="xl101"/>
    <w:basedOn w:val="1"/>
    <w:autoRedefine/>
    <w:qFormat/>
    <w:uiPriority w:val="0"/>
    <w:pPr>
      <w:spacing w:before="100" w:beforeAutospacing="1" w:after="100" w:afterAutospacing="1"/>
      <w:jc w:val="center"/>
    </w:pPr>
    <w:rPr>
      <w:rFonts w:cs="Courier New"/>
      <w:color w:val="FF0000"/>
      <w:kern w:val="0"/>
      <w:sz w:val="22"/>
      <w:szCs w:val="22"/>
    </w:rPr>
  </w:style>
  <w:style w:type="paragraph" w:customStyle="1" w:styleId="219">
    <w:name w:val="font7"/>
    <w:basedOn w:val="1"/>
    <w:autoRedefine/>
    <w:qFormat/>
    <w:uiPriority w:val="0"/>
    <w:pPr>
      <w:spacing w:before="100" w:beforeAutospacing="1" w:after="100" w:afterAutospacing="1"/>
      <w:jc w:val="left"/>
    </w:pPr>
    <w:rPr>
      <w:rFonts w:cs="Courier New"/>
      <w:kern w:val="0"/>
      <w:sz w:val="22"/>
      <w:szCs w:val="22"/>
    </w:rPr>
  </w:style>
  <w:style w:type="paragraph" w:customStyle="1" w:styleId="220">
    <w:name w:val="xl173"/>
    <w:basedOn w:val="1"/>
    <w:autoRedefine/>
    <w:qFormat/>
    <w:uiPriority w:val="0"/>
    <w:pPr>
      <w:pBdr>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21">
    <w:name w:val="xl165"/>
    <w:basedOn w:val="1"/>
    <w:autoRedefine/>
    <w:qFormat/>
    <w:uiPriority w:val="0"/>
    <w:pPr>
      <w:pBdr>
        <w:top w:val="single" w:color="auto" w:sz="4" w:space="0"/>
        <w:left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2">
    <w:name w:val="xl99"/>
    <w:basedOn w:val="1"/>
    <w:autoRedefine/>
    <w:qFormat/>
    <w:uiPriority w:val="0"/>
    <w:pPr>
      <w:spacing w:before="100" w:beforeAutospacing="1" w:after="100" w:afterAutospacing="1"/>
      <w:jc w:val="center"/>
    </w:pPr>
    <w:rPr>
      <w:rFonts w:cs="Courier New"/>
      <w:color w:val="FF0000"/>
      <w:kern w:val="0"/>
      <w:sz w:val="23"/>
      <w:szCs w:val="23"/>
    </w:rPr>
  </w:style>
  <w:style w:type="paragraph" w:customStyle="1" w:styleId="223">
    <w:name w:val="xl83"/>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kern w:val="0"/>
      <w:sz w:val="22"/>
      <w:szCs w:val="22"/>
    </w:rPr>
  </w:style>
  <w:style w:type="paragraph" w:customStyle="1" w:styleId="224">
    <w:name w:val="xl111"/>
    <w:basedOn w:val="1"/>
    <w:autoRedefine/>
    <w:qFormat/>
    <w:uiPriority w:val="0"/>
    <w:pPr>
      <w:pBdr>
        <w:bottom w:val="single" w:color="auto" w:sz="4" w:space="0"/>
      </w:pBdr>
      <w:spacing w:before="100" w:beforeAutospacing="1" w:after="100" w:afterAutospacing="1"/>
      <w:jc w:val="left"/>
    </w:pPr>
    <w:rPr>
      <w:rFonts w:cs="Courier New"/>
      <w:b/>
      <w:bCs/>
      <w:kern w:val="0"/>
      <w:sz w:val="23"/>
      <w:szCs w:val="23"/>
    </w:rPr>
  </w:style>
  <w:style w:type="paragraph" w:customStyle="1" w:styleId="225">
    <w:name w:val="xl13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6">
    <w:name w:val="xl95"/>
    <w:basedOn w:val="1"/>
    <w:autoRedefine/>
    <w:qFormat/>
    <w:uiPriority w:val="0"/>
    <w:pPr>
      <w:shd w:val="clear" w:color="000000" w:fill="FFFFFF"/>
      <w:spacing w:before="100" w:beforeAutospacing="1" w:after="100" w:afterAutospacing="1"/>
      <w:jc w:val="left"/>
    </w:pPr>
    <w:rPr>
      <w:rFonts w:cs="Courier New"/>
      <w:color w:val="000000"/>
      <w:kern w:val="0"/>
      <w:sz w:val="23"/>
      <w:szCs w:val="23"/>
    </w:rPr>
  </w:style>
  <w:style w:type="paragraph" w:customStyle="1" w:styleId="227">
    <w:name w:val="xl181"/>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28">
    <w:name w:val="正文内容"/>
    <w:basedOn w:val="1"/>
    <w:autoRedefine/>
    <w:qFormat/>
    <w:uiPriority w:val="0"/>
    <w:rPr>
      <w:rFonts w:ascii="Wingdings" w:hAnsi="Wingdings"/>
      <w:spacing w:val="-12"/>
      <w:szCs w:val="20"/>
    </w:rPr>
  </w:style>
  <w:style w:type="paragraph" w:customStyle="1" w:styleId="229">
    <w:name w:val="xl11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30">
    <w:name w:val="xl189"/>
    <w:basedOn w:val="1"/>
    <w:autoRedefine/>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31">
    <w:name w:val="xl92"/>
    <w:basedOn w:val="1"/>
    <w:autoRedefine/>
    <w:qFormat/>
    <w:uiPriority w:val="0"/>
    <w:pPr>
      <w:shd w:val="clear" w:color="000000" w:fill="FFFFFF"/>
      <w:spacing w:before="100" w:beforeAutospacing="1" w:after="100" w:afterAutospacing="1"/>
      <w:jc w:val="left"/>
    </w:pPr>
    <w:rPr>
      <w:rFonts w:cs="Courier New"/>
      <w:kern w:val="0"/>
      <w:sz w:val="23"/>
      <w:szCs w:val="23"/>
    </w:rPr>
  </w:style>
  <w:style w:type="paragraph" w:customStyle="1" w:styleId="232">
    <w:name w:val="xl10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33">
    <w:name w:val="xl19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color w:val="000000"/>
      <w:kern w:val="0"/>
      <w:sz w:val="22"/>
      <w:szCs w:val="22"/>
    </w:rPr>
  </w:style>
  <w:style w:type="paragraph" w:customStyle="1" w:styleId="234">
    <w:name w:val="xl14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35">
    <w:name w:val="xl14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36">
    <w:name w:val="xl156"/>
    <w:basedOn w:val="1"/>
    <w:autoRedefine/>
    <w:qFormat/>
    <w:uiPriority w:val="0"/>
    <w:pPr>
      <w:pBdr>
        <w:top w:val="single" w:color="auto" w:sz="4" w:space="0"/>
      </w:pBdr>
      <w:spacing w:before="100" w:beforeAutospacing="1" w:after="100" w:afterAutospacing="1"/>
      <w:jc w:val="left"/>
    </w:pPr>
    <w:rPr>
      <w:rFonts w:cs="Courier New"/>
      <w:b/>
      <w:bCs/>
      <w:kern w:val="0"/>
      <w:sz w:val="23"/>
      <w:szCs w:val="23"/>
    </w:rPr>
  </w:style>
  <w:style w:type="paragraph" w:customStyle="1" w:styleId="237">
    <w:name w:val="xl201"/>
    <w:basedOn w:val="1"/>
    <w:autoRedefine/>
    <w:qFormat/>
    <w:uiPriority w:val="0"/>
    <w:pPr>
      <w:pBdr>
        <w:bottom w:val="single" w:color="auto" w:sz="4" w:space="0"/>
      </w:pBdr>
      <w:spacing w:before="100" w:beforeAutospacing="1" w:after="100" w:afterAutospacing="1"/>
      <w:jc w:val="center"/>
    </w:pPr>
    <w:rPr>
      <w:rFonts w:cs="Courier New"/>
      <w:b/>
      <w:bCs/>
      <w:kern w:val="0"/>
      <w:sz w:val="36"/>
      <w:szCs w:val="36"/>
    </w:rPr>
  </w:style>
  <w:style w:type="paragraph" w:customStyle="1" w:styleId="238">
    <w:name w:val="Char Char Char Char Char Char Char"/>
    <w:basedOn w:val="1"/>
    <w:autoRedefine/>
    <w:qFormat/>
    <w:uiPriority w:val="0"/>
    <w:pPr>
      <w:tabs>
        <w:tab w:val="left" w:pos="425"/>
      </w:tabs>
      <w:ind w:left="425" w:hanging="425"/>
    </w:pPr>
    <w:rPr>
      <w:rFonts w:eastAsia="SimSun-Identity-H"/>
      <w:kern w:val="24"/>
      <w:sz w:val="24"/>
    </w:rPr>
  </w:style>
  <w:style w:type="paragraph" w:customStyle="1" w:styleId="239">
    <w:name w:val="WPSOffice手动目录 1"/>
    <w:autoRedefine/>
    <w:qFormat/>
    <w:uiPriority w:val="0"/>
    <w:pPr>
      <w:spacing w:line="360" w:lineRule="auto"/>
      <w:jc w:val="both"/>
    </w:pPr>
    <w:rPr>
      <w:rFonts w:ascii="Courier New" w:hAnsi="Courier New" w:eastAsia="宋体" w:cs="Times New Roman"/>
      <w:kern w:val="2"/>
      <w:sz w:val="21"/>
      <w:szCs w:val="24"/>
      <w:lang w:val="en-US" w:eastAsia="zh-CN" w:bidi="ar-SA"/>
    </w:rPr>
  </w:style>
  <w:style w:type="paragraph" w:customStyle="1" w:styleId="240">
    <w:name w:val="xl183"/>
    <w:basedOn w:val="1"/>
    <w:autoRedefine/>
    <w:qFormat/>
    <w:uiPriority w:val="0"/>
    <w:pPr>
      <w:pBdr>
        <w:top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41">
    <w:name w:val="xl19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242">
    <w:name w:val="xl140"/>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kern w:val="0"/>
      <w:sz w:val="24"/>
    </w:rPr>
  </w:style>
  <w:style w:type="paragraph" w:customStyle="1" w:styleId="243">
    <w:name w:val="xl180"/>
    <w:basedOn w:val="1"/>
    <w:autoRedefine/>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44">
    <w:name w:val="Char Char11"/>
    <w:basedOn w:val="1"/>
    <w:autoRedefine/>
    <w:qFormat/>
    <w:uiPriority w:val="0"/>
    <w:rPr>
      <w:b/>
      <w:sz w:val="28"/>
      <w:szCs w:val="28"/>
    </w:rPr>
  </w:style>
  <w:style w:type="paragraph" w:customStyle="1" w:styleId="245">
    <w:name w:val="xl167"/>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46">
    <w:name w:val="font8"/>
    <w:basedOn w:val="1"/>
    <w:autoRedefine/>
    <w:qFormat/>
    <w:uiPriority w:val="0"/>
    <w:pPr>
      <w:spacing w:before="100" w:beforeAutospacing="1" w:after="100" w:afterAutospacing="1"/>
      <w:jc w:val="left"/>
    </w:pPr>
    <w:rPr>
      <w:rFonts w:cs="Courier New"/>
      <w:b/>
      <w:bCs/>
      <w:kern w:val="0"/>
      <w:sz w:val="22"/>
      <w:szCs w:val="22"/>
    </w:rPr>
  </w:style>
  <w:style w:type="paragraph" w:customStyle="1" w:styleId="247">
    <w:name w:val="xl110"/>
    <w:basedOn w:val="1"/>
    <w:autoRedefine/>
    <w:qFormat/>
    <w:uiPriority w:val="0"/>
    <w:pPr>
      <w:pBdr>
        <w:bottom w:val="single" w:color="auto" w:sz="4" w:space="0"/>
      </w:pBdr>
      <w:spacing w:before="100" w:beforeAutospacing="1" w:after="100" w:afterAutospacing="1"/>
      <w:jc w:val="left"/>
    </w:pPr>
    <w:rPr>
      <w:rFonts w:cs="Courier New"/>
      <w:b/>
      <w:bCs/>
      <w:kern w:val="0"/>
      <w:sz w:val="23"/>
      <w:szCs w:val="23"/>
    </w:rPr>
  </w:style>
  <w:style w:type="paragraph" w:customStyle="1" w:styleId="248">
    <w:name w:val="xl103"/>
    <w:basedOn w:val="1"/>
    <w:autoRedefine/>
    <w:qFormat/>
    <w:uiPriority w:val="0"/>
    <w:pPr>
      <w:spacing w:before="100" w:beforeAutospacing="1" w:after="100" w:afterAutospacing="1"/>
      <w:jc w:val="left"/>
    </w:pPr>
    <w:rPr>
      <w:rFonts w:cs="Courier New"/>
      <w:color w:val="FF0000"/>
      <w:kern w:val="0"/>
      <w:sz w:val="24"/>
    </w:rPr>
  </w:style>
  <w:style w:type="paragraph" w:customStyle="1" w:styleId="249">
    <w:name w:val="样式4"/>
    <w:basedOn w:val="1"/>
    <w:autoRedefine/>
    <w:qFormat/>
    <w:uiPriority w:val="0"/>
    <w:pPr>
      <w:tabs>
        <w:tab w:val="left" w:pos="874"/>
      </w:tabs>
      <w:ind w:left="874" w:hanging="420"/>
    </w:pPr>
    <w:rPr>
      <w:sz w:val="24"/>
    </w:rPr>
  </w:style>
  <w:style w:type="paragraph" w:customStyle="1" w:styleId="250">
    <w:name w:val="xl86"/>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18"/>
      <w:szCs w:val="18"/>
    </w:rPr>
  </w:style>
  <w:style w:type="paragraph" w:customStyle="1" w:styleId="251">
    <w:name w:val="xl160"/>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252">
    <w:name w:val="msolistparagraph"/>
    <w:basedOn w:val="1"/>
    <w:autoRedefine/>
    <w:qFormat/>
    <w:uiPriority w:val="0"/>
    <w:pPr>
      <w:ind w:firstLine="420" w:firstLineChars="200"/>
    </w:pPr>
  </w:style>
  <w:style w:type="paragraph" w:styleId="253">
    <w:name w:val="No Spacing"/>
    <w:autoRedefine/>
    <w:qFormat/>
    <w:uiPriority w:val="1"/>
    <w:pPr>
      <w:widowControl w:val="0"/>
      <w:spacing w:line="360" w:lineRule="auto"/>
      <w:jc w:val="both"/>
    </w:pPr>
    <w:rPr>
      <w:rFonts w:ascii="Courier New" w:hAnsi="Courier New" w:eastAsia="宋体" w:cs="Times New Roman"/>
      <w:kern w:val="2"/>
      <w:sz w:val="24"/>
      <w:szCs w:val="22"/>
      <w:lang w:val="en-US" w:eastAsia="zh-CN" w:bidi="ar-SA"/>
    </w:rPr>
  </w:style>
  <w:style w:type="paragraph" w:customStyle="1" w:styleId="254">
    <w:name w:val="xl85"/>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255">
    <w:name w:val="xl93"/>
    <w:basedOn w:val="1"/>
    <w:autoRedefine/>
    <w:qFormat/>
    <w:uiPriority w:val="0"/>
    <w:pPr>
      <w:spacing w:before="100" w:beforeAutospacing="1" w:after="100" w:afterAutospacing="1"/>
      <w:jc w:val="left"/>
    </w:pPr>
    <w:rPr>
      <w:rFonts w:cs="Courier New"/>
      <w:kern w:val="0"/>
      <w:sz w:val="23"/>
      <w:szCs w:val="23"/>
    </w:rPr>
  </w:style>
  <w:style w:type="paragraph" w:customStyle="1" w:styleId="256">
    <w:name w:val="xl169"/>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pPr>
    <w:rPr>
      <w:rFonts w:cs="Courier New"/>
      <w:kern w:val="0"/>
      <w:sz w:val="23"/>
      <w:szCs w:val="23"/>
    </w:rPr>
  </w:style>
  <w:style w:type="paragraph" w:customStyle="1" w:styleId="257">
    <w:name w:val="xl115"/>
    <w:basedOn w:val="1"/>
    <w:autoRedefine/>
    <w:qFormat/>
    <w:uiPriority w:val="0"/>
    <w:pPr>
      <w:pBdr>
        <w:top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58">
    <w:name w:val="xl13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b/>
      <w:bCs/>
      <w:kern w:val="0"/>
      <w:sz w:val="22"/>
      <w:szCs w:val="22"/>
    </w:rPr>
  </w:style>
  <w:style w:type="paragraph" w:customStyle="1" w:styleId="259">
    <w:name w:val="xl18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3"/>
      <w:szCs w:val="23"/>
    </w:rPr>
  </w:style>
  <w:style w:type="paragraph" w:customStyle="1" w:styleId="260">
    <w:name w:val="xl11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61">
    <w:name w:val="p0"/>
    <w:basedOn w:val="1"/>
    <w:autoRedefine/>
    <w:qFormat/>
    <w:uiPriority w:val="0"/>
    <w:rPr>
      <w:rFonts w:ascii="华文中宋" w:hAnsi="华文中宋" w:cs="Courier New"/>
      <w:kern w:val="0"/>
      <w:szCs w:val="21"/>
    </w:rPr>
  </w:style>
  <w:style w:type="paragraph" w:customStyle="1" w:styleId="262">
    <w:name w:val="Char"/>
    <w:basedOn w:val="1"/>
    <w:autoRedefine/>
    <w:qFormat/>
    <w:uiPriority w:val="0"/>
    <w:pPr>
      <w:spacing w:after="160" w:line="240" w:lineRule="exact"/>
      <w:jc w:val="left"/>
    </w:pPr>
    <w:rPr>
      <w:kern w:val="0"/>
      <w:szCs w:val="20"/>
      <w:lang w:eastAsia="en-US"/>
    </w:rPr>
  </w:style>
  <w:style w:type="paragraph" w:customStyle="1" w:styleId="263">
    <w:name w:val="xl98"/>
    <w:basedOn w:val="1"/>
    <w:autoRedefine/>
    <w:qFormat/>
    <w:uiPriority w:val="0"/>
    <w:pPr>
      <w:spacing w:before="100" w:beforeAutospacing="1" w:after="100" w:afterAutospacing="1"/>
      <w:jc w:val="left"/>
    </w:pPr>
    <w:rPr>
      <w:rFonts w:cs="Courier New"/>
      <w:kern w:val="0"/>
      <w:sz w:val="23"/>
      <w:szCs w:val="23"/>
    </w:rPr>
  </w:style>
  <w:style w:type="paragraph" w:customStyle="1" w:styleId="264">
    <w:name w:val="4"/>
    <w:autoRedefine/>
    <w:qFormat/>
    <w:uiPriority w:val="0"/>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autoSpaceDE w:val="0"/>
      <w:autoSpaceDN w:val="0"/>
      <w:adjustRightInd w:val="0"/>
      <w:spacing w:before="113" w:after="57" w:line="300" w:lineRule="atLeast"/>
      <w:jc w:val="both"/>
    </w:pPr>
    <w:rPr>
      <w:rFonts w:ascii="仿宋_GB2312" w:hAnsi="Courier New" w:eastAsia="仿宋_GB2312" w:cs="Times New Roman"/>
      <w:color w:val="000000"/>
      <w:kern w:val="2"/>
      <w:sz w:val="21"/>
      <w:szCs w:val="24"/>
      <w:lang w:val="en-US" w:eastAsia="zh-CN" w:bidi="ar-SA"/>
    </w:rPr>
  </w:style>
  <w:style w:type="paragraph" w:customStyle="1" w:styleId="265">
    <w:name w:val="xl15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2"/>
      <w:szCs w:val="22"/>
    </w:rPr>
  </w:style>
  <w:style w:type="paragraph" w:customStyle="1" w:styleId="266">
    <w:name w:val="font9"/>
    <w:basedOn w:val="1"/>
    <w:autoRedefine/>
    <w:qFormat/>
    <w:uiPriority w:val="0"/>
    <w:pPr>
      <w:spacing w:before="100" w:beforeAutospacing="1" w:after="100" w:afterAutospacing="1"/>
      <w:jc w:val="left"/>
    </w:pPr>
    <w:rPr>
      <w:rFonts w:cs="Courier New"/>
      <w:kern w:val="0"/>
      <w:sz w:val="23"/>
      <w:szCs w:val="23"/>
    </w:rPr>
  </w:style>
  <w:style w:type="paragraph" w:customStyle="1" w:styleId="267">
    <w:name w:val="xl197"/>
    <w:basedOn w:val="1"/>
    <w:autoRedefine/>
    <w:qFormat/>
    <w:uiPriority w:val="0"/>
    <w:pPr>
      <w:pBdr>
        <w:top w:val="single" w:color="auto" w:sz="4" w:space="0"/>
        <w:left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68">
    <w:name w:val="xl168"/>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69">
    <w:name w:val="列表段落1"/>
    <w:basedOn w:val="1"/>
    <w:autoRedefine/>
    <w:qFormat/>
    <w:uiPriority w:val="34"/>
    <w:pPr>
      <w:ind w:firstLine="420" w:firstLineChars="200"/>
    </w:pPr>
    <w:rPr>
      <w:szCs w:val="20"/>
    </w:rPr>
  </w:style>
  <w:style w:type="paragraph" w:customStyle="1" w:styleId="270">
    <w:name w:val="xl166"/>
    <w:basedOn w:val="1"/>
    <w:autoRedefine/>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1">
    <w:name w:val="Char1 Char Char Char"/>
    <w:basedOn w:val="1"/>
    <w:autoRedefine/>
    <w:qFormat/>
    <w:uiPriority w:val="0"/>
    <w:pPr>
      <w:tabs>
        <w:tab w:val="left" w:pos="360"/>
      </w:tabs>
    </w:pPr>
    <w:rPr>
      <w:sz w:val="24"/>
    </w:rPr>
  </w:style>
  <w:style w:type="paragraph" w:customStyle="1" w:styleId="272">
    <w:name w:val="xl113"/>
    <w:basedOn w:val="1"/>
    <w:autoRedefine/>
    <w:qFormat/>
    <w:uiPriority w:val="0"/>
    <w:pPr>
      <w:pBdr>
        <w:top w:val="single" w:color="auto" w:sz="4" w:space="0"/>
        <w:left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73">
    <w:name w:val="xl12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4">
    <w:name w:val="xl112"/>
    <w:basedOn w:val="1"/>
    <w:autoRedefine/>
    <w:qFormat/>
    <w:uiPriority w:val="0"/>
    <w:pPr>
      <w:pBdr>
        <w:top w:val="single" w:color="auto" w:sz="4" w:space="0"/>
        <w:left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275">
    <w:name w:val="5"/>
    <w:autoRedefine/>
    <w:qFormat/>
    <w:uiPriority w:val="0"/>
    <w:pPr>
      <w:widowControl w:val="0"/>
      <w:tabs>
        <w:tab w:val="left" w:pos="1984"/>
      </w:tabs>
      <w:autoSpaceDE w:val="0"/>
      <w:autoSpaceDN w:val="0"/>
      <w:adjustRightInd w:val="0"/>
      <w:spacing w:line="290" w:lineRule="atLeast"/>
      <w:jc w:val="both"/>
    </w:pPr>
    <w:rPr>
      <w:rFonts w:ascii="Cambria Math" w:hAnsi="Courier New" w:eastAsia="宋体" w:cs="Times New Roman"/>
      <w:kern w:val="2"/>
      <w:sz w:val="21"/>
      <w:szCs w:val="24"/>
      <w:lang w:val="en-US" w:eastAsia="zh-CN" w:bidi="ar-SA"/>
    </w:rPr>
  </w:style>
  <w:style w:type="paragraph" w:customStyle="1" w:styleId="276">
    <w:name w:val="xl116"/>
    <w:basedOn w:val="1"/>
    <w:autoRedefine/>
    <w:qFormat/>
    <w:uiPriority w:val="0"/>
    <w:pPr>
      <w:pBdr>
        <w:top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77">
    <w:name w:val="xl182"/>
    <w:basedOn w:val="1"/>
    <w:autoRedefine/>
    <w:qFormat/>
    <w:uiPriority w:val="0"/>
    <w:pPr>
      <w:pBdr>
        <w:left w:val="single" w:color="000000" w:sz="4" w:space="0"/>
        <w:bottom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278">
    <w:name w:val="节"/>
    <w:basedOn w:val="5"/>
    <w:autoRedefine/>
    <w:qFormat/>
    <w:uiPriority w:val="0"/>
    <w:pPr>
      <w:tabs>
        <w:tab w:val="left" w:pos="432"/>
        <w:tab w:val="left" w:pos="576"/>
      </w:tabs>
      <w:spacing w:line="240" w:lineRule="auto"/>
    </w:pPr>
    <w:rPr>
      <w:rFonts w:ascii="黑体" w:hAnsi="Times New Roman" w:eastAsia="微软雅黑"/>
      <w:b w:val="0"/>
      <w:bCs w:val="0"/>
      <w:szCs w:val="28"/>
    </w:rPr>
  </w:style>
  <w:style w:type="paragraph" w:customStyle="1" w:styleId="279">
    <w:name w:val="xl13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80">
    <w:name w:val="题注5"/>
    <w:basedOn w:val="1"/>
    <w:next w:val="16"/>
    <w:autoRedefine/>
    <w:qFormat/>
    <w:uiPriority w:val="0"/>
    <w:pPr>
      <w:jc w:val="center"/>
    </w:pPr>
    <w:rPr>
      <w:b/>
      <w:color w:val="000000"/>
      <w:sz w:val="24"/>
      <w:szCs w:val="21"/>
    </w:rPr>
  </w:style>
  <w:style w:type="paragraph" w:customStyle="1" w:styleId="281">
    <w:name w:val="xl193"/>
    <w:basedOn w:val="1"/>
    <w:autoRedefine/>
    <w:qFormat/>
    <w:uiPriority w:val="0"/>
    <w:pPr>
      <w:pBdr>
        <w:top w:val="single" w:color="auto" w:sz="4" w:space="0"/>
        <w:left w:val="single" w:color="auto" w:sz="4" w:space="0"/>
        <w:bottom w:val="single" w:color="auto" w:sz="4" w:space="0"/>
      </w:pBdr>
      <w:spacing w:before="100" w:beforeAutospacing="1" w:after="100" w:afterAutospacing="1"/>
      <w:jc w:val="center"/>
    </w:pPr>
    <w:rPr>
      <w:rFonts w:cs="Courier New"/>
      <w:color w:val="000000"/>
      <w:kern w:val="0"/>
      <w:sz w:val="23"/>
      <w:szCs w:val="23"/>
    </w:rPr>
  </w:style>
  <w:style w:type="paragraph" w:customStyle="1" w:styleId="282">
    <w:name w:val="Char Char2 Char"/>
    <w:basedOn w:val="1"/>
    <w:autoRedefine/>
    <w:qFormat/>
    <w:uiPriority w:val="0"/>
    <w:pPr>
      <w:keepNext/>
      <w:keepLines/>
      <w:pageBreakBefore/>
      <w:tabs>
        <w:tab w:val="left" w:pos="845"/>
      </w:tabs>
      <w:ind w:left="845" w:hanging="420"/>
    </w:pPr>
    <w:rPr>
      <w:rFonts w:ascii="仿宋" w:hAnsi="仿宋"/>
      <w:sz w:val="24"/>
      <w:szCs w:val="20"/>
    </w:rPr>
  </w:style>
  <w:style w:type="paragraph" w:customStyle="1" w:styleId="283">
    <w:name w:val="Char Char Char Char Char Char1 Char"/>
    <w:basedOn w:val="1"/>
    <w:autoRedefine/>
    <w:qFormat/>
    <w:uiPriority w:val="0"/>
    <w:pPr>
      <w:spacing w:after="160" w:line="240" w:lineRule="exact"/>
      <w:jc w:val="left"/>
    </w:pPr>
    <w:rPr>
      <w:kern w:val="0"/>
      <w:szCs w:val="20"/>
      <w:lang w:eastAsia="en-US"/>
    </w:rPr>
  </w:style>
  <w:style w:type="paragraph" w:customStyle="1" w:styleId="284">
    <w:name w:val="xl100"/>
    <w:basedOn w:val="1"/>
    <w:autoRedefine/>
    <w:qFormat/>
    <w:uiPriority w:val="0"/>
    <w:pPr>
      <w:spacing w:before="100" w:beforeAutospacing="1" w:after="100" w:afterAutospacing="1"/>
      <w:jc w:val="left"/>
    </w:pPr>
    <w:rPr>
      <w:rFonts w:cs="Courier New"/>
      <w:color w:val="FF0000"/>
      <w:kern w:val="0"/>
      <w:sz w:val="22"/>
      <w:szCs w:val="22"/>
    </w:rPr>
  </w:style>
  <w:style w:type="paragraph" w:customStyle="1" w:styleId="285">
    <w:name w:val="首行缩进"/>
    <w:basedOn w:val="1"/>
    <w:autoRedefine/>
    <w:qFormat/>
    <w:uiPriority w:val="0"/>
    <w:pPr>
      <w:ind w:firstLine="480" w:firstLineChars="200"/>
    </w:pPr>
    <w:rPr>
      <w:rFonts w:ascii="微软雅黑" w:hAnsi="微软雅黑"/>
      <w:lang w:val="zh-CN"/>
    </w:rPr>
  </w:style>
  <w:style w:type="paragraph" w:customStyle="1" w:styleId="286">
    <w:name w:val="xl12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kern w:val="0"/>
      <w:sz w:val="23"/>
      <w:szCs w:val="23"/>
    </w:rPr>
  </w:style>
  <w:style w:type="paragraph" w:customStyle="1" w:styleId="287">
    <w:name w:val="原点第二行"/>
    <w:basedOn w:val="186"/>
    <w:autoRedefine/>
    <w:qFormat/>
    <w:uiPriority w:val="0"/>
    <w:pPr>
      <w:numPr>
        <w:numId w:val="0"/>
      </w:numPr>
      <w:ind w:left="567" w:firstLine="420"/>
    </w:pPr>
  </w:style>
  <w:style w:type="paragraph" w:customStyle="1" w:styleId="288">
    <w:name w:val="È±Ê¡ÎÄ±¾"/>
    <w:basedOn w:val="1"/>
    <w:autoRedefine/>
    <w:qFormat/>
    <w:uiPriority w:val="0"/>
    <w:pPr>
      <w:overflowPunct w:val="0"/>
      <w:autoSpaceDE w:val="0"/>
      <w:autoSpaceDN w:val="0"/>
      <w:adjustRightInd w:val="0"/>
      <w:textAlignment w:val="baseline"/>
    </w:pPr>
    <w:rPr>
      <w:kern w:val="0"/>
      <w:szCs w:val="20"/>
    </w:rPr>
  </w:style>
  <w:style w:type="paragraph" w:customStyle="1" w:styleId="289">
    <w:name w:val="Char Char Char Char Char Char Char Char Char Char"/>
    <w:basedOn w:val="1"/>
    <w:autoRedefine/>
    <w:qFormat/>
    <w:uiPriority w:val="0"/>
    <w:pPr>
      <w:adjustRightInd w:val="0"/>
    </w:pPr>
    <w:rPr>
      <w:kern w:val="0"/>
      <w:sz w:val="24"/>
      <w:szCs w:val="20"/>
    </w:rPr>
  </w:style>
  <w:style w:type="paragraph" w:customStyle="1" w:styleId="290">
    <w:name w:val="xl77"/>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291">
    <w:name w:val="xl164"/>
    <w:basedOn w:val="1"/>
    <w:autoRedefine/>
    <w:qFormat/>
    <w:uiPriority w:val="0"/>
    <w:pPr>
      <w:pBdr>
        <w:left w:val="single" w:color="auto" w:sz="4" w:space="0"/>
        <w:bottom w:val="single" w:color="auto" w:sz="4" w:space="0"/>
      </w:pBdr>
      <w:spacing w:before="100" w:beforeAutospacing="1" w:after="100" w:afterAutospacing="1"/>
      <w:jc w:val="left"/>
    </w:pPr>
    <w:rPr>
      <w:rFonts w:cs="Courier New"/>
      <w:kern w:val="0"/>
      <w:sz w:val="23"/>
      <w:szCs w:val="23"/>
    </w:rPr>
  </w:style>
  <w:style w:type="paragraph" w:customStyle="1" w:styleId="292">
    <w:name w:val="xl14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93">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94">
    <w:name w:val="xl184"/>
    <w:basedOn w:val="1"/>
    <w:autoRedefine/>
    <w:qFormat/>
    <w:uiPriority w:val="0"/>
    <w:pPr>
      <w:pBdr>
        <w:top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95">
    <w:name w:val="tabletext"/>
    <w:basedOn w:val="1"/>
    <w:autoRedefine/>
    <w:qFormat/>
    <w:uiPriority w:val="0"/>
    <w:pPr>
      <w:spacing w:before="100" w:beforeAutospacing="1" w:after="100" w:afterAutospacing="1" w:line="217" w:lineRule="atLeast"/>
      <w:jc w:val="left"/>
    </w:pPr>
    <w:rPr>
      <w:rFonts w:cs="Courier New"/>
      <w:kern w:val="0"/>
      <w:sz w:val="16"/>
      <w:szCs w:val="16"/>
      <w:lang w:bidi="th-TH"/>
    </w:rPr>
  </w:style>
  <w:style w:type="paragraph" w:customStyle="1" w:styleId="296">
    <w:name w:val="Char Char Char Char Char Char Char Char Char Char Char Char Char"/>
    <w:basedOn w:val="1"/>
    <w:autoRedefine/>
    <w:qFormat/>
    <w:uiPriority w:val="0"/>
    <w:pPr>
      <w:spacing w:after="160" w:line="240" w:lineRule="exact"/>
      <w:jc w:val="left"/>
    </w:pPr>
    <w:rPr>
      <w:rFonts w:cs="Courier New"/>
      <w:kern w:val="0"/>
      <w:sz w:val="24"/>
    </w:rPr>
  </w:style>
  <w:style w:type="paragraph" w:customStyle="1" w:styleId="297">
    <w:name w:val="xl144"/>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b/>
      <w:bCs/>
      <w:kern w:val="0"/>
      <w:sz w:val="23"/>
      <w:szCs w:val="23"/>
    </w:rPr>
  </w:style>
  <w:style w:type="paragraph" w:customStyle="1" w:styleId="298">
    <w:name w:val="font6"/>
    <w:basedOn w:val="1"/>
    <w:autoRedefine/>
    <w:qFormat/>
    <w:uiPriority w:val="0"/>
    <w:pPr>
      <w:spacing w:before="100" w:beforeAutospacing="1" w:after="100" w:afterAutospacing="1"/>
      <w:jc w:val="left"/>
    </w:pPr>
    <w:rPr>
      <w:rFonts w:cs="Courier New"/>
      <w:b/>
      <w:bCs/>
      <w:kern w:val="0"/>
      <w:sz w:val="23"/>
      <w:szCs w:val="23"/>
    </w:rPr>
  </w:style>
  <w:style w:type="paragraph" w:customStyle="1" w:styleId="299">
    <w:name w:val="xl10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300">
    <w:name w:val="xl24"/>
    <w:basedOn w:val="1"/>
    <w:autoRedefine/>
    <w:qFormat/>
    <w:uiPriority w:val="0"/>
    <w:pPr>
      <w:pBdr>
        <w:bottom w:val="single" w:color="auto" w:sz="4" w:space="0"/>
        <w:right w:val="single" w:color="auto" w:sz="4" w:space="0"/>
      </w:pBdr>
      <w:spacing w:before="100" w:beforeAutospacing="1" w:after="100" w:afterAutospacing="1"/>
      <w:jc w:val="center"/>
      <w:textAlignment w:val="center"/>
    </w:pPr>
    <w:rPr>
      <w:rFonts w:ascii="Wingdings" w:hAnsi="Cambria Math" w:eastAsia="Wingdings"/>
      <w:kern w:val="0"/>
      <w:sz w:val="24"/>
    </w:rPr>
  </w:style>
  <w:style w:type="paragraph" w:customStyle="1" w:styleId="301">
    <w:name w:val="xl15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302">
    <w:name w:val="xl84"/>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303">
    <w:name w:val="xl177"/>
    <w:basedOn w:val="1"/>
    <w:autoRedefine/>
    <w:qFormat/>
    <w:uiPriority w:val="0"/>
    <w:pPr>
      <w:pBdr>
        <w:top w:val="single" w:color="000000" w:sz="4" w:space="0"/>
        <w:left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304">
    <w:name w:val="xl178"/>
    <w:basedOn w:val="1"/>
    <w:autoRedefine/>
    <w:qFormat/>
    <w:uiPriority w:val="0"/>
    <w:pPr>
      <w:pBdr>
        <w:top w:val="single" w:color="auto" w:sz="4" w:space="0"/>
        <w:left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5">
    <w:name w:val="xl13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306">
    <w:name w:val="xl12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7">
    <w:name w:val="Char Char2 Char11"/>
    <w:basedOn w:val="1"/>
    <w:autoRedefine/>
    <w:qFormat/>
    <w:uiPriority w:val="0"/>
    <w:rPr>
      <w:b/>
      <w:sz w:val="28"/>
      <w:szCs w:val="28"/>
    </w:rPr>
  </w:style>
  <w:style w:type="paragraph" w:customStyle="1" w:styleId="308">
    <w:name w:val="xl12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9">
    <w:name w:val="xl162"/>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310">
    <w:name w:val="xl18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311">
    <w:name w:val="xl79"/>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312">
    <w:name w:val="题注4"/>
    <w:basedOn w:val="1"/>
    <w:next w:val="16"/>
    <w:autoRedefine/>
    <w:qFormat/>
    <w:uiPriority w:val="0"/>
    <w:pPr>
      <w:ind w:left="-132" w:leftChars="-64" w:right="-105" w:rightChars="-50" w:hanging="2"/>
      <w:jc w:val="center"/>
    </w:pPr>
    <w:rPr>
      <w:b/>
      <w:color w:val="FF0000"/>
      <w:szCs w:val="21"/>
      <w:lang w:val="en-GB"/>
    </w:rPr>
  </w:style>
  <w:style w:type="paragraph" w:customStyle="1" w:styleId="313">
    <w:name w:val="办公自动化专用标题"/>
    <w:basedOn w:val="45"/>
    <w:autoRedefine/>
    <w:qFormat/>
    <w:uiPriority w:val="0"/>
    <w:pPr>
      <w:spacing w:line="560" w:lineRule="atLeast"/>
    </w:pPr>
    <w:rPr>
      <w:rFonts w:ascii="Courier New" w:cs="宋体"/>
      <w:bCs w:val="0"/>
      <w:sz w:val="44"/>
      <w:szCs w:val="20"/>
    </w:rPr>
  </w:style>
  <w:style w:type="paragraph" w:customStyle="1" w:styleId="314">
    <w:name w:val="xl27"/>
    <w:basedOn w:val="1"/>
    <w:autoRedefine/>
    <w:qFormat/>
    <w:uiPriority w:val="0"/>
    <w:pPr>
      <w:pBdr>
        <w:left w:val="single" w:color="auto" w:sz="8" w:space="0"/>
        <w:bottom w:val="single" w:color="auto" w:sz="4" w:space="0"/>
        <w:right w:val="single" w:color="auto" w:sz="4" w:space="0"/>
      </w:pBdr>
      <w:spacing w:before="100" w:beforeAutospacing="1" w:after="100" w:afterAutospacing="1"/>
      <w:jc w:val="center"/>
      <w:textAlignment w:val="center"/>
    </w:pPr>
    <w:rPr>
      <w:kern w:val="0"/>
      <w:szCs w:val="21"/>
    </w:rPr>
  </w:style>
  <w:style w:type="paragraph" w:customStyle="1" w:styleId="315">
    <w:name w:val="缺省文本"/>
    <w:basedOn w:val="1"/>
    <w:autoRedefine/>
    <w:qFormat/>
    <w:uiPriority w:val="0"/>
    <w:pPr>
      <w:autoSpaceDE w:val="0"/>
      <w:autoSpaceDN w:val="0"/>
      <w:adjustRightInd w:val="0"/>
      <w:jc w:val="left"/>
    </w:pPr>
    <w:rPr>
      <w:kern w:val="0"/>
      <w:sz w:val="24"/>
      <w:szCs w:val="20"/>
    </w:rPr>
  </w:style>
  <w:style w:type="paragraph" w:customStyle="1" w:styleId="316">
    <w:name w:val="表格文字"/>
    <w:basedOn w:val="1"/>
    <w:autoRedefine/>
    <w:qFormat/>
    <w:uiPriority w:val="0"/>
    <w:pPr>
      <w:spacing w:before="25" w:after="25"/>
      <w:jc w:val="left"/>
    </w:pPr>
    <w:rPr>
      <w:bCs/>
      <w:spacing w:val="10"/>
      <w:kern w:val="0"/>
      <w:sz w:val="24"/>
      <w:szCs w:val="20"/>
    </w:rPr>
  </w:style>
  <w:style w:type="paragraph" w:customStyle="1" w:styleId="317">
    <w:name w:val="xl12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318">
    <w:name w:val="Char11"/>
    <w:basedOn w:val="1"/>
    <w:autoRedefine/>
    <w:qFormat/>
    <w:uiPriority w:val="0"/>
    <w:pPr>
      <w:spacing w:after="160" w:line="240" w:lineRule="exact"/>
      <w:jc w:val="left"/>
    </w:pPr>
    <w:rPr>
      <w:rFonts w:eastAsia="SimSun-Identity-H"/>
      <w:kern w:val="0"/>
      <w:sz w:val="24"/>
      <w:szCs w:val="20"/>
      <w:lang w:eastAsia="en-US"/>
    </w:rPr>
  </w:style>
  <w:style w:type="paragraph" w:customStyle="1" w:styleId="319">
    <w:name w:val="xl91"/>
    <w:basedOn w:val="1"/>
    <w:autoRedefine/>
    <w:qFormat/>
    <w:uiPriority w:val="0"/>
    <w:pPr>
      <w:shd w:val="clear" w:color="000000" w:fill="FFFFFF"/>
      <w:spacing w:before="100" w:beforeAutospacing="1" w:after="100" w:afterAutospacing="1"/>
      <w:jc w:val="left"/>
    </w:pPr>
    <w:rPr>
      <w:rFonts w:cs="Courier New"/>
      <w:kern w:val="0"/>
      <w:sz w:val="23"/>
      <w:szCs w:val="23"/>
    </w:rPr>
  </w:style>
  <w:style w:type="paragraph" w:customStyle="1" w:styleId="320">
    <w:name w:val="列表段落2"/>
    <w:basedOn w:val="1"/>
    <w:autoRedefine/>
    <w:qFormat/>
    <w:uiPriority w:val="34"/>
    <w:pPr>
      <w:ind w:firstLine="420" w:firstLineChars="200"/>
    </w:pPr>
    <w:rPr>
      <w:rFonts w:ascii="华文中宋" w:hAnsi="华文中宋" w:eastAsia="Courier New"/>
      <w:szCs w:val="20"/>
    </w:rPr>
  </w:style>
  <w:style w:type="paragraph" w:customStyle="1" w:styleId="321">
    <w:name w:val="xl13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table" w:customStyle="1" w:styleId="322">
    <w:name w:val="网格型3"/>
    <w:basedOn w:val="49"/>
    <w:autoRedefine/>
    <w:qFormat/>
    <w:uiPriority w:val="39"/>
    <w:rPr>
      <w:rFonts w:ascii="等线" w:hAnsi="等线" w:eastAsia="等线"/>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3">
    <w:name w:val="网格型21"/>
    <w:basedOn w:val="49"/>
    <w:autoRedefine/>
    <w:qFormat/>
    <w:uiPriority w:val="39"/>
    <w:rPr>
      <w:rFonts w:eastAsia="Calibri"/>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4">
    <w:name w:val="网格型4"/>
    <w:basedOn w:val="49"/>
    <w:autoRedefine/>
    <w:qFormat/>
    <w:uiPriority w:val="39"/>
    <w:rPr>
      <w:rFonts w:ascii="等线" w:hAnsi="等线" w:eastAsia="等线"/>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5">
    <w:name w:val="网格型2"/>
    <w:basedOn w:val="49"/>
    <w:autoRedefine/>
    <w:qFormat/>
    <w:uiPriority w:val="39"/>
    <w:rPr>
      <w:rFonts w:eastAsia="Calibri" w:cs="微软雅黑"/>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6">
    <w:name w:val="网格型1"/>
    <w:basedOn w:val="49"/>
    <w:autoRedefine/>
    <w:qFormat/>
    <w:uiPriority w:val="0"/>
    <w:pPr>
      <w:widowControl w:val="0"/>
    </w:pPr>
    <w:rPr>
      <w:rFonts w:ascii="微软雅黑" w:hAnsi="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7">
    <w:name w:val="网格型11"/>
    <w:basedOn w:val="49"/>
    <w:autoRedefine/>
    <w:qFormat/>
    <w:uiPriority w:val="39"/>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28">
    <w:name w:val="_Style 3"/>
    <w:basedOn w:val="1"/>
    <w:next w:val="129"/>
    <w:autoRedefine/>
    <w:qFormat/>
    <w:uiPriority w:val="34"/>
    <w:pPr>
      <w:spacing w:line="240" w:lineRule="atLeast"/>
      <w:ind w:firstLine="420" w:firstLineChars="200"/>
      <w:jc w:val="left"/>
    </w:pPr>
    <w:rPr>
      <w:rFonts w:ascii="仿宋体" w:hAnsi="仿宋体" w:eastAsia="Arial" w:cs="Arial"/>
      <w:kern w:val="0"/>
      <w:sz w:val="24"/>
    </w:rPr>
  </w:style>
  <w:style w:type="paragraph" w:customStyle="1" w:styleId="329">
    <w:name w:val="Table Paragraph"/>
    <w:basedOn w:val="1"/>
    <w:autoRedefine/>
    <w:qFormat/>
    <w:uiPriority w:val="0"/>
    <w:pPr>
      <w:autoSpaceDE w:val="0"/>
      <w:autoSpaceDN w:val="0"/>
      <w:adjustRightInd w:val="0"/>
      <w:jc w:val="left"/>
    </w:pPr>
    <w:rPr>
      <w:kern w:val="0"/>
      <w:sz w:val="24"/>
    </w:rPr>
  </w:style>
  <w:style w:type="character" w:customStyle="1" w:styleId="330">
    <w:name w:val="彩色列表 - 着色 1 字符"/>
    <w:link w:val="331"/>
    <w:autoRedefine/>
    <w:qFormat/>
    <w:uiPriority w:val="34"/>
    <w:rPr>
      <w:rFonts w:ascii="华文中宋" w:hAnsi="华文中宋"/>
      <w:kern w:val="1"/>
      <w:lang w:eastAsia="ar-SA"/>
    </w:rPr>
  </w:style>
  <w:style w:type="paragraph" w:customStyle="1" w:styleId="331">
    <w:name w:val="彩色列表 - 强调文字颜色 11"/>
    <w:basedOn w:val="1"/>
    <w:link w:val="330"/>
    <w:autoRedefine/>
    <w:qFormat/>
    <w:uiPriority w:val="34"/>
    <w:pPr>
      <w:suppressAutoHyphens/>
      <w:ind w:firstLine="420"/>
    </w:pPr>
    <w:rPr>
      <w:rFonts w:ascii="华文中宋" w:hAnsi="华文中宋"/>
      <w:kern w:val="1"/>
      <w:sz w:val="20"/>
      <w:szCs w:val="20"/>
      <w:lang w:eastAsia="ar-SA"/>
    </w:rPr>
  </w:style>
  <w:style w:type="paragraph" w:customStyle="1" w:styleId="332">
    <w:name w:val="_Style 329"/>
    <w:basedOn w:val="22"/>
    <w:next w:val="48"/>
    <w:link w:val="333"/>
    <w:autoRedefine/>
    <w:qFormat/>
    <w:uiPriority w:val="0"/>
    <w:pPr>
      <w:adjustRightInd/>
      <w:snapToGrid/>
      <w:spacing w:after="120" w:line="240" w:lineRule="auto"/>
      <w:ind w:left="420" w:leftChars="200"/>
    </w:pPr>
    <w:rPr>
      <w:rFonts w:ascii="Times New Roman" w:hAnsi="Times New Roman"/>
      <w:kern w:val="0"/>
      <w:sz w:val="20"/>
      <w:szCs w:val="20"/>
    </w:rPr>
  </w:style>
  <w:style w:type="character" w:customStyle="1" w:styleId="333">
    <w:name w:val="正文首行缩进 2 Char"/>
    <w:link w:val="332"/>
    <w:autoRedefine/>
    <w:qFormat/>
    <w:uiPriority w:val="0"/>
  </w:style>
  <w:style w:type="paragraph" w:customStyle="1" w:styleId="334">
    <w:name w:val="_Style 2"/>
    <w:basedOn w:val="1"/>
    <w:next w:val="1"/>
    <w:autoRedefine/>
    <w:qFormat/>
    <w:uiPriority w:val="99"/>
    <w:pPr>
      <w:ind w:firstLine="420"/>
    </w:pPr>
    <w:rPr>
      <w:rFonts w:ascii="Cambria" w:hAnsi="Cambria"/>
    </w:rPr>
  </w:style>
  <w:style w:type="character" w:customStyle="1" w:styleId="335">
    <w:name w:val="文档结构图 Char"/>
    <w:link w:val="17"/>
    <w:autoRedefine/>
    <w:qFormat/>
    <w:uiPriority w:val="99"/>
    <w:rPr>
      <w:kern w:val="2"/>
      <w:sz w:val="21"/>
      <w:szCs w:val="24"/>
      <w:shd w:val="clear" w:color="auto" w:fill="000080"/>
    </w:rPr>
  </w:style>
  <w:style w:type="character" w:customStyle="1" w:styleId="336">
    <w:name w:val="称呼 Char"/>
    <w:link w:val="19"/>
    <w:autoRedefine/>
    <w:qFormat/>
    <w:uiPriority w:val="0"/>
    <w:rPr>
      <w:kern w:val="2"/>
      <w:sz w:val="21"/>
      <w:szCs w:val="24"/>
    </w:rPr>
  </w:style>
  <w:style w:type="character" w:customStyle="1" w:styleId="337">
    <w:name w:val="正文文本 3 Char"/>
    <w:link w:val="20"/>
    <w:autoRedefine/>
    <w:qFormat/>
    <w:uiPriority w:val="0"/>
    <w:rPr>
      <w:kern w:val="2"/>
      <w:sz w:val="16"/>
      <w:szCs w:val="16"/>
    </w:rPr>
  </w:style>
  <w:style w:type="character" w:customStyle="1" w:styleId="338">
    <w:name w:val="正文首行缩进 Char"/>
    <w:link w:val="47"/>
    <w:autoRedefine/>
    <w:qFormat/>
    <w:uiPriority w:val="99"/>
    <w:rPr>
      <w:rFonts w:ascii="宋体" w:hAnsi="宋体"/>
      <w:kern w:val="2"/>
      <w:sz w:val="21"/>
      <w:szCs w:val="24"/>
    </w:rPr>
  </w:style>
  <w:style w:type="character" w:customStyle="1" w:styleId="339">
    <w:name w:val="z-窗体顶端 字符1"/>
    <w:autoRedefine/>
    <w:qFormat/>
    <w:uiPriority w:val="99"/>
    <w:rPr>
      <w:rFonts w:ascii="Arial" w:hAnsi="Arial" w:eastAsia="宋体" w:cs="Arial"/>
      <w:vanish/>
      <w:sz w:val="16"/>
      <w:szCs w:val="16"/>
    </w:rPr>
  </w:style>
  <w:style w:type="character" w:customStyle="1" w:styleId="340">
    <w:name w:val="未处理的提及11"/>
    <w:autoRedefine/>
    <w:qFormat/>
    <w:uiPriority w:val="99"/>
    <w:rPr>
      <w:color w:val="605E5C"/>
      <w:shd w:val="clear" w:color="auto" w:fill="E1DFDD"/>
    </w:rPr>
  </w:style>
  <w:style w:type="paragraph" w:customStyle="1" w:styleId="341">
    <w:name w:val="z-窗体顶端11"/>
    <w:basedOn w:val="1"/>
    <w:autoRedefine/>
    <w:qFormat/>
    <w:uiPriority w:val="34"/>
    <w:pPr>
      <w:tabs>
        <w:tab w:val="left" w:pos="1276"/>
      </w:tabs>
      <w:ind w:firstLine="420" w:firstLineChars="200"/>
    </w:pPr>
    <w:rPr>
      <w:rFonts w:ascii="Times New Roman" w:hAnsi="Times New Roman"/>
    </w:rPr>
  </w:style>
  <w:style w:type="paragraph" w:customStyle="1" w:styleId="342">
    <w:name w:val="Char Char Char Char1"/>
    <w:basedOn w:val="1"/>
    <w:autoRedefine/>
    <w:qFormat/>
    <w:uiPriority w:val="0"/>
    <w:pPr>
      <w:spacing w:after="160" w:line="240" w:lineRule="exact"/>
      <w:jc w:val="left"/>
    </w:pPr>
    <w:rPr>
      <w:kern w:val="0"/>
      <w:sz w:val="20"/>
      <w:szCs w:val="20"/>
      <w:lang w:eastAsia="en-US"/>
    </w:rPr>
  </w:style>
  <w:style w:type="paragraph" w:customStyle="1" w:styleId="343">
    <w:name w:val="Char Char131"/>
    <w:basedOn w:val="1"/>
    <w:autoRedefine/>
    <w:qFormat/>
    <w:uiPriority w:val="0"/>
    <w:pPr>
      <w:spacing w:after="160" w:line="240" w:lineRule="exact"/>
      <w:jc w:val="left"/>
    </w:pPr>
    <w:rPr>
      <w:rFonts w:eastAsia="SimSun-Identity-H"/>
      <w:kern w:val="0"/>
      <w:sz w:val="24"/>
      <w:szCs w:val="20"/>
      <w:lang w:eastAsia="en-US"/>
    </w:rPr>
  </w:style>
  <w:style w:type="paragraph" w:customStyle="1" w:styleId="344">
    <w:name w:val="Char Char Char1"/>
    <w:basedOn w:val="1"/>
    <w:autoRedefine/>
    <w:qFormat/>
    <w:uiPriority w:val="0"/>
    <w:pPr>
      <w:spacing w:after="160" w:line="240" w:lineRule="exact"/>
      <w:jc w:val="left"/>
    </w:pPr>
    <w:rPr>
      <w:rFonts w:ascii="Times New Roman" w:hAnsi="Times New Roman"/>
      <w:szCs w:val="20"/>
    </w:rPr>
  </w:style>
  <w:style w:type="paragraph" w:customStyle="1" w:styleId="345">
    <w:name w:val="彩色底纹 - 强调文字颜色 11"/>
    <w:autoRedefine/>
    <w:qFormat/>
    <w:uiPriority w:val="99"/>
    <w:pPr>
      <w:spacing w:line="360" w:lineRule="auto"/>
      <w:jc w:val="both"/>
    </w:pPr>
    <w:rPr>
      <w:rFonts w:ascii="Times New Roman" w:hAnsi="Times New Roman" w:eastAsia="宋体" w:cs="Times New Roman"/>
      <w:kern w:val="2"/>
      <w:sz w:val="21"/>
      <w:szCs w:val="24"/>
      <w:lang w:val="en-US" w:eastAsia="zh-CN" w:bidi="ar-SA"/>
    </w:rPr>
  </w:style>
  <w:style w:type="paragraph" w:customStyle="1" w:styleId="346">
    <w:name w:val="Char Char Char Char Char Char Char Char Char Char Char Char1 Char1"/>
    <w:basedOn w:val="17"/>
    <w:autoRedefine/>
    <w:qFormat/>
    <w:uiPriority w:val="0"/>
    <w:rPr>
      <w:rFonts w:ascii="Times New Roman" w:hAnsi="Times New Roman"/>
    </w:rPr>
  </w:style>
  <w:style w:type="paragraph" w:customStyle="1" w:styleId="347">
    <w:name w:val="Char Char Char Char Char Char Char1"/>
    <w:basedOn w:val="1"/>
    <w:autoRedefine/>
    <w:qFormat/>
    <w:uiPriority w:val="0"/>
    <w:pPr>
      <w:tabs>
        <w:tab w:val="left" w:pos="425"/>
      </w:tabs>
      <w:ind w:left="425" w:hanging="425"/>
    </w:pPr>
    <w:rPr>
      <w:rFonts w:ascii="Times New Roman" w:hAnsi="Times New Roman" w:eastAsia="SimSun-Identity-H"/>
      <w:kern w:val="24"/>
      <w:sz w:val="24"/>
    </w:rPr>
  </w:style>
  <w:style w:type="paragraph" w:customStyle="1" w:styleId="348">
    <w:name w:val="Char Char1"/>
    <w:basedOn w:val="1"/>
    <w:autoRedefine/>
    <w:qFormat/>
    <w:uiPriority w:val="0"/>
    <w:rPr>
      <w:b/>
      <w:sz w:val="28"/>
      <w:szCs w:val="28"/>
    </w:rPr>
  </w:style>
  <w:style w:type="paragraph" w:customStyle="1" w:styleId="349">
    <w:name w:val="中等深浅网格 21"/>
    <w:autoRedefine/>
    <w:qFormat/>
    <w:uiPriority w:val="1"/>
    <w:pPr>
      <w:widowControl w:val="0"/>
      <w:spacing w:line="360" w:lineRule="auto"/>
      <w:jc w:val="both"/>
    </w:pPr>
    <w:rPr>
      <w:rFonts w:ascii="Times New Roman" w:hAnsi="Times New Roman" w:eastAsia="宋体" w:cs="Times New Roman"/>
      <w:kern w:val="2"/>
      <w:sz w:val="24"/>
      <w:szCs w:val="22"/>
      <w:lang w:val="en-US" w:eastAsia="zh-CN" w:bidi="ar-SA"/>
    </w:rPr>
  </w:style>
  <w:style w:type="paragraph" w:customStyle="1" w:styleId="350">
    <w:name w:val="Char1 Char Char Char1"/>
    <w:basedOn w:val="1"/>
    <w:autoRedefine/>
    <w:qFormat/>
    <w:uiPriority w:val="0"/>
    <w:pPr>
      <w:numPr>
        <w:ilvl w:val="0"/>
        <w:numId w:val="2"/>
      </w:numPr>
      <w:tabs>
        <w:tab w:val="clear" w:pos="360"/>
      </w:tabs>
    </w:pPr>
    <w:rPr>
      <w:rFonts w:ascii="Times New Roman" w:hAnsi="Times New Roman"/>
      <w:sz w:val="24"/>
    </w:rPr>
  </w:style>
  <w:style w:type="paragraph" w:customStyle="1" w:styleId="351">
    <w:name w:val="Char Char Char Char Char Char1 Char1"/>
    <w:basedOn w:val="1"/>
    <w:autoRedefine/>
    <w:qFormat/>
    <w:uiPriority w:val="0"/>
    <w:pPr>
      <w:spacing w:after="160" w:line="240" w:lineRule="exact"/>
      <w:jc w:val="left"/>
    </w:pPr>
    <w:rPr>
      <w:kern w:val="0"/>
      <w:szCs w:val="20"/>
      <w:lang w:eastAsia="en-US"/>
    </w:rPr>
  </w:style>
  <w:style w:type="paragraph" w:customStyle="1" w:styleId="352">
    <w:name w:val="Char Char Char Char Char Char Char Char Char Char1"/>
    <w:basedOn w:val="1"/>
    <w:autoRedefine/>
    <w:qFormat/>
    <w:uiPriority w:val="0"/>
    <w:pPr>
      <w:adjustRightInd w:val="0"/>
    </w:pPr>
    <w:rPr>
      <w:rFonts w:ascii="Times New Roman" w:hAnsi="Times New Roman"/>
      <w:kern w:val="0"/>
      <w:sz w:val="24"/>
      <w:szCs w:val="20"/>
    </w:rPr>
  </w:style>
  <w:style w:type="paragraph" w:customStyle="1" w:styleId="353">
    <w:name w:val="Char Char Char Char Char Char Char Char Char Char Char Char Char1"/>
    <w:basedOn w:val="1"/>
    <w:autoRedefine/>
    <w:qFormat/>
    <w:uiPriority w:val="0"/>
    <w:pPr>
      <w:spacing w:after="160" w:line="240" w:lineRule="exact"/>
      <w:jc w:val="left"/>
    </w:pPr>
    <w:rPr>
      <w:rFonts w:cs="Courier New"/>
      <w:kern w:val="0"/>
      <w:sz w:val="24"/>
    </w:rPr>
  </w:style>
  <w:style w:type="paragraph" w:customStyle="1" w:styleId="354">
    <w:name w:val="Char Char2 Char1"/>
    <w:basedOn w:val="1"/>
    <w:autoRedefine/>
    <w:qFormat/>
    <w:uiPriority w:val="0"/>
    <w:rPr>
      <w:b/>
      <w:sz w:val="28"/>
      <w:szCs w:val="28"/>
    </w:rPr>
  </w:style>
  <w:style w:type="paragraph" w:customStyle="1" w:styleId="355">
    <w:name w:val="Char1"/>
    <w:basedOn w:val="1"/>
    <w:autoRedefine/>
    <w:qFormat/>
    <w:uiPriority w:val="0"/>
    <w:pPr>
      <w:spacing w:after="160" w:line="240" w:lineRule="exact"/>
      <w:jc w:val="left"/>
    </w:pPr>
    <w:rPr>
      <w:rFonts w:eastAsia="SimSun-Identity-H"/>
      <w:kern w:val="0"/>
      <w:sz w:val="24"/>
      <w:szCs w:val="20"/>
      <w:lang w:eastAsia="en-US"/>
    </w:rPr>
  </w:style>
  <w:style w:type="paragraph" w:customStyle="1" w:styleId="356">
    <w:name w:val="列表段落21"/>
    <w:basedOn w:val="1"/>
    <w:autoRedefine/>
    <w:qFormat/>
    <w:uiPriority w:val="34"/>
    <w:pPr>
      <w:ind w:firstLine="420" w:firstLineChars="200"/>
    </w:pPr>
    <w:rPr>
      <w:rFonts w:ascii="华文中宋" w:hAnsi="华文中宋" w:eastAsia="Courier New"/>
      <w:szCs w:val="20"/>
    </w:rPr>
  </w:style>
  <w:style w:type="character" w:customStyle="1" w:styleId="357">
    <w:name w:val="font101"/>
    <w:autoRedefine/>
    <w:qFormat/>
    <w:uiPriority w:val="0"/>
    <w:rPr>
      <w:rFonts w:hint="eastAsia" w:ascii="宋体" w:hAnsi="宋体" w:eastAsia="宋体" w:cs="宋体"/>
      <w:color w:val="000000"/>
      <w:sz w:val="22"/>
      <w:szCs w:val="22"/>
      <w:u w:val="none"/>
    </w:rPr>
  </w:style>
  <w:style w:type="paragraph" w:customStyle="1" w:styleId="358">
    <w:name w:val="B"/>
    <w:basedOn w:val="21"/>
    <w:link w:val="359"/>
    <w:autoRedefine/>
    <w:qFormat/>
    <w:uiPriority w:val="1"/>
    <w:pPr>
      <w:autoSpaceDE w:val="0"/>
      <w:autoSpaceDN w:val="0"/>
      <w:ind w:firstLine="480" w:firstLineChars="200"/>
      <w:jc w:val="left"/>
    </w:pPr>
    <w:rPr>
      <w:rFonts w:ascii="宋体" w:hAnsi="宋体" w:cs="宋体"/>
      <w:sz w:val="24"/>
      <w:lang w:eastAsia="en-US"/>
    </w:rPr>
  </w:style>
  <w:style w:type="character" w:customStyle="1" w:styleId="359">
    <w:name w:val="B 字符"/>
    <w:basedOn w:val="64"/>
    <w:link w:val="358"/>
    <w:autoRedefine/>
    <w:qFormat/>
    <w:uiPriority w:val="1"/>
    <w:rPr>
      <w:rFonts w:ascii="宋体" w:hAnsi="宋体" w:cs="宋体"/>
      <w:kern w:val="2"/>
      <w:sz w:val="24"/>
      <w:szCs w:val="24"/>
      <w:lang w:eastAsia="en-US"/>
    </w:rPr>
  </w:style>
  <w:style w:type="paragraph" w:customStyle="1" w:styleId="360">
    <w:name w:val="D"/>
    <w:basedOn w:val="358"/>
    <w:link w:val="361"/>
    <w:autoRedefine/>
    <w:qFormat/>
    <w:uiPriority w:val="1"/>
    <w:pPr>
      <w:ind w:firstLine="0" w:firstLineChars="0"/>
      <w:jc w:val="both"/>
      <w:outlineLvl w:val="2"/>
    </w:pPr>
    <w:rPr>
      <w:b/>
      <w:bCs/>
      <w:kern w:val="0"/>
    </w:rPr>
  </w:style>
  <w:style w:type="character" w:customStyle="1" w:styleId="361">
    <w:name w:val="D 字符"/>
    <w:link w:val="360"/>
    <w:autoRedefine/>
    <w:qFormat/>
    <w:uiPriority w:val="1"/>
    <w:rPr>
      <w:rFonts w:ascii="宋体" w:hAnsi="宋体" w:cs="宋体"/>
      <w:b/>
      <w:bCs/>
      <w:sz w:val="24"/>
      <w:szCs w:val="24"/>
      <w:lang w:eastAsia="en-US"/>
    </w:rPr>
  </w:style>
  <w:style w:type="character" w:customStyle="1" w:styleId="362">
    <w:name w:val="正文缩进 Char"/>
    <w:autoRedefine/>
    <w:qFormat/>
    <w:uiPriority w:val="0"/>
    <w:rPr>
      <w:rFonts w:ascii="文鼎CS中黑" w:eastAsia="文鼎CS中黑"/>
      <w:sz w:val="34"/>
    </w:rPr>
  </w:style>
  <w:style w:type="character" w:customStyle="1" w:styleId="363">
    <w:name w:val="批注文字 字符1"/>
    <w:autoRedefine/>
    <w:qFormat/>
    <w:uiPriority w:val="0"/>
    <w:rPr>
      <w:rFonts w:ascii="宋体" w:hAnsi="宋体" w:cs="宋体"/>
      <w:sz w:val="24"/>
      <w:szCs w:val="24"/>
    </w:rPr>
  </w:style>
  <w:style w:type="paragraph" w:customStyle="1" w:styleId="364">
    <w:name w:val="列表段落3"/>
    <w:basedOn w:val="1"/>
    <w:autoRedefine/>
    <w:qFormat/>
    <w:uiPriority w:val="0"/>
    <w:pPr>
      <w:autoSpaceDE w:val="0"/>
      <w:autoSpaceDN w:val="0"/>
      <w:ind w:left="124" w:firstLine="378"/>
      <w:jc w:val="left"/>
    </w:pPr>
    <w:rPr>
      <w:rFonts w:ascii="宋体" w:hAnsi="宋体" w:cs="宋体"/>
      <w:kern w:val="0"/>
      <w:sz w:val="22"/>
      <w:szCs w:val="22"/>
    </w:rPr>
  </w:style>
  <w:style w:type="paragraph" w:customStyle="1" w:styleId="365">
    <w:name w:val="正文1"/>
    <w:autoRedefine/>
    <w:qFormat/>
    <w:uiPriority w:val="0"/>
    <w:pPr>
      <w:jc w:val="both"/>
    </w:pPr>
    <w:rPr>
      <w:rFonts w:ascii="Calibri" w:hAnsi="Calibri" w:eastAsia="宋体" w:cs="Calibri"/>
      <w:kern w:val="2"/>
      <w:sz w:val="21"/>
      <w:szCs w:val="21"/>
      <w:lang w:val="en-US" w:eastAsia="zh-CN" w:bidi="ar-SA"/>
    </w:rPr>
  </w:style>
  <w:style w:type="character" w:customStyle="1" w:styleId="366">
    <w:name w:val="未处理的提及2"/>
    <w:basedOn w:val="51"/>
    <w:autoRedefine/>
    <w:semiHidden/>
    <w:unhideWhenUsed/>
    <w:qFormat/>
    <w:uiPriority w:val="99"/>
    <w:rPr>
      <w:color w:val="605E5C"/>
      <w:shd w:val="clear" w:color="auto" w:fill="E1DFDD"/>
    </w:rPr>
  </w:style>
  <w:style w:type="character" w:customStyle="1" w:styleId="367">
    <w:name w:val="正文文本首行缩进 2 字符1"/>
    <w:autoRedefine/>
    <w:qFormat/>
    <w:uiPriority w:val="0"/>
    <w:rPr>
      <w:kern w:val="2"/>
      <w:sz w:val="21"/>
      <w:szCs w:val="24"/>
    </w:rPr>
  </w:style>
  <w:style w:type="character" w:customStyle="1" w:styleId="368">
    <w:name w:val="font51"/>
    <w:basedOn w:val="51"/>
    <w:autoRedefine/>
    <w:qFormat/>
    <w:uiPriority w:val="0"/>
    <w:rPr>
      <w:rFonts w:ascii="宋体" w:hAnsi="宋体" w:eastAsia="宋体" w:cs="宋体"/>
      <w:color w:val="000000"/>
      <w:sz w:val="12"/>
      <w:szCs w:val="12"/>
      <w:u w:val="none"/>
    </w:rPr>
  </w:style>
  <w:style w:type="paragraph" w:customStyle="1" w:styleId="369">
    <w:name w:val="TOC 标题2"/>
    <w:basedOn w:val="4"/>
    <w:next w:val="1"/>
    <w:autoRedefine/>
    <w:qFormat/>
    <w:uiPriority w:val="0"/>
    <w:pPr>
      <w:widowControl w:val="0"/>
      <w:spacing w:before="260" w:after="260" w:line="413" w:lineRule="auto"/>
    </w:pPr>
    <w:rPr>
      <w:rFonts w:ascii="宋体" w:hAnsi="宋体"/>
      <w:sz w:val="36"/>
      <w:lang w:val="zh-CN"/>
    </w:rPr>
  </w:style>
  <w:style w:type="paragraph" w:customStyle="1" w:styleId="370">
    <w:name w:val="_Style 69"/>
    <w:next w:val="129"/>
    <w:autoRedefine/>
    <w:qFormat/>
    <w:uiPriority w:val="0"/>
    <w:pPr>
      <w:widowControl w:val="0"/>
      <w:ind w:firstLine="420" w:firstLineChars="200"/>
      <w:jc w:val="both"/>
    </w:pPr>
    <w:rPr>
      <w:rFonts w:ascii="Calibri" w:hAnsi="Calibri" w:eastAsia="黑体" w:cs="Times New Roman"/>
      <w:kern w:val="2"/>
      <w:sz w:val="7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4" Type="http://schemas.openxmlformats.org/officeDocument/2006/relationships/fontTable" Target="fontTable.xml"/><Relationship Id="rId33" Type="http://schemas.openxmlformats.org/officeDocument/2006/relationships/customXml" Target="../customXml/item2.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6.wmf"/><Relationship Id="rId3" Type="http://schemas.openxmlformats.org/officeDocument/2006/relationships/footnotes" Target="footnotes.xml"/><Relationship Id="rId29" Type="http://schemas.openxmlformats.org/officeDocument/2006/relationships/oleObject" Target="embeddings/oleObject5.bin"/><Relationship Id="rId28" Type="http://schemas.openxmlformats.org/officeDocument/2006/relationships/image" Target="media/image5.wmf"/><Relationship Id="rId27" Type="http://schemas.openxmlformats.org/officeDocument/2006/relationships/oleObject" Target="embeddings/oleObject4.bin"/><Relationship Id="rId26" Type="http://schemas.openxmlformats.org/officeDocument/2006/relationships/image" Target="media/image4.wmf"/><Relationship Id="rId25" Type="http://schemas.openxmlformats.org/officeDocument/2006/relationships/oleObject" Target="embeddings/oleObject3.bin"/><Relationship Id="rId24" Type="http://schemas.openxmlformats.org/officeDocument/2006/relationships/image" Target="media/image3.wmf"/><Relationship Id="rId23" Type="http://schemas.openxmlformats.org/officeDocument/2006/relationships/oleObject" Target="embeddings/oleObject2.bin"/><Relationship Id="rId22" Type="http://schemas.openxmlformats.org/officeDocument/2006/relationships/image" Target="media/image2.wmf"/><Relationship Id="rId21" Type="http://schemas.openxmlformats.org/officeDocument/2006/relationships/oleObject" Target="embeddings/oleObject1.bin"/><Relationship Id="rId20" Type="http://schemas.openxmlformats.org/officeDocument/2006/relationships/image" Target="media/image1.jpe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header" Target="header6.xml"/><Relationship Id="rId15" Type="http://schemas.openxmlformats.org/officeDocument/2006/relationships/header" Target="header5.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55"/>
    <customShpInfo spid="_x0000_s2056"/>
    <customShpInfo spid="_x0000_s2053"/>
    <customShpInfo spid="_x0000_s2054"/>
    <customShpInfo spid="_x0000_s2052"/>
    <customShpInfo spid="_x0000_s2051"/>
    <customShpInfo spid="_x0000_s2049"/>
    <customShpInfo spid="_x0000_s2050"/>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4360DD-2B2D-45E2-9B2B-AB33FE26A137}">
  <ds:schemaRefs/>
</ds:datastoreItem>
</file>

<file path=docProps/app.xml><?xml version="1.0" encoding="utf-8"?>
<Properties xmlns="http://schemas.openxmlformats.org/officeDocument/2006/extended-properties" xmlns:vt="http://schemas.openxmlformats.org/officeDocument/2006/docPropsVTypes">
  <Template>Normal</Template>
  <Company>中国石油大学</Company>
  <Pages>199</Pages>
  <Words>20090</Words>
  <Characters>114514</Characters>
  <Lines>954</Lines>
  <Paragraphs>268</Paragraphs>
  <TotalTime>94</TotalTime>
  <ScaleCrop>false</ScaleCrop>
  <LinksUpToDate>false</LinksUpToDate>
  <CharactersWithSpaces>134336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2022-11-24T07:22:00Z</dcterms:created>
  <dc:creator>珠海市物资招标有限公司</dc:creator>
  <cp:lastModifiedBy>25</cp:lastModifiedBy>
  <cp:lastPrinted>2022-05-23T02:21:00Z</cp:lastPrinted>
  <dcterms:modified xsi:type="dcterms:W3CDTF">2024-01-25T08:35:01Z</dcterms:modified>
  <dc:title>公开招标文件(第二册)</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60A1E2BFE5154455BAF7F674F920E65E_13</vt:lpwstr>
  </property>
</Properties>
</file>